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4.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drawings/drawing5.xml" ContentType="application/vnd.openxmlformats-officedocument.drawingml.chartshapes+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5.xml" ContentType="application/vnd.openxmlformats-officedocument.themeOverride+xml"/>
  <Override PartName="/word/drawings/drawing6.xml" ContentType="application/vnd.openxmlformats-officedocument.drawingml.chartshapes+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04B91" w14:textId="75A5A0C2" w:rsidR="00247FC9" w:rsidRDefault="00247FC9" w:rsidP="00247FC9">
      <w:pPr>
        <w:rPr>
          <w:rFonts w:ascii="Arial" w:hAnsi="Arial" w:cs="Arial"/>
          <w:sz w:val="36"/>
          <w:szCs w:val="36"/>
        </w:rPr>
      </w:pPr>
    </w:p>
    <w:p w14:paraId="242FE520" w14:textId="77777777" w:rsidR="00247FC9" w:rsidRDefault="00247FC9" w:rsidP="00247FC9">
      <w:pPr>
        <w:rPr>
          <w:rFonts w:ascii="Arial" w:hAnsi="Arial" w:cs="Arial"/>
          <w:sz w:val="36"/>
          <w:szCs w:val="36"/>
        </w:rPr>
      </w:pPr>
    </w:p>
    <w:p w14:paraId="5C75D09E" w14:textId="77777777" w:rsidR="00247FC9" w:rsidRDefault="00247FC9" w:rsidP="00247FC9">
      <w:pPr>
        <w:rPr>
          <w:rFonts w:ascii="Arial" w:hAnsi="Arial" w:cs="Arial"/>
          <w:sz w:val="36"/>
          <w:szCs w:val="36"/>
        </w:rPr>
      </w:pPr>
    </w:p>
    <w:p w14:paraId="2ED12EFE" w14:textId="77777777" w:rsidR="00247FC9" w:rsidRDefault="00247FC9" w:rsidP="00247FC9">
      <w:pPr>
        <w:rPr>
          <w:rFonts w:ascii="Arial" w:hAnsi="Arial" w:cs="Arial"/>
          <w:sz w:val="36"/>
          <w:szCs w:val="36"/>
        </w:rPr>
      </w:pPr>
    </w:p>
    <w:p w14:paraId="2A0487D6" w14:textId="2460AC6D" w:rsidR="00247FC9" w:rsidRDefault="00803F37" w:rsidP="00247FC9">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58752" behindDoc="0" locked="0" layoutInCell="1" allowOverlap="1" wp14:anchorId="552EAB6B" wp14:editId="0A6D416C">
                <wp:simplePos x="0" y="0"/>
                <wp:positionH relativeFrom="column">
                  <wp:posOffset>-171450</wp:posOffset>
                </wp:positionH>
                <wp:positionV relativeFrom="paragraph">
                  <wp:posOffset>225425</wp:posOffset>
                </wp:positionV>
                <wp:extent cx="9525" cy="2390775"/>
                <wp:effectExtent l="19050" t="19050" r="28575" b="28575"/>
                <wp:wrapNone/>
                <wp:docPr id="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390775"/>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BFCD45" id="Straight Connector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7.75pt" to="-12.7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" strokecolor="black [3213]" strokeweight="2.5pt">
                <o:lock v:ext="edit" shapetype="f"/>
              </v:line>
            </w:pict>
          </mc:Fallback>
        </mc:AlternateContent>
      </w:r>
    </w:p>
    <w:p w14:paraId="0ADBF41D" w14:textId="77777777" w:rsidR="00247FC9" w:rsidRPr="00247FC9" w:rsidRDefault="00247FC9" w:rsidP="00247FC9">
      <w:pPr>
        <w:rPr>
          <w:rFonts w:ascii="Arial" w:hAnsi="Arial" w:cs="Arial"/>
          <w:sz w:val="36"/>
          <w:szCs w:val="36"/>
        </w:rPr>
      </w:pPr>
      <w:r w:rsidRPr="00247FC9">
        <w:rPr>
          <w:rFonts w:ascii="Arial" w:hAnsi="Arial" w:cs="Arial"/>
          <w:sz w:val="36"/>
          <w:szCs w:val="36"/>
        </w:rPr>
        <w:t>UTAH STATE IMPLEMENTATION PLAN</w:t>
      </w:r>
    </w:p>
    <w:p w14:paraId="3330A812" w14:textId="17398C7E" w:rsidR="00247FC9" w:rsidRPr="00247FC9" w:rsidRDefault="00247FC9" w:rsidP="00247FC9">
      <w:pPr>
        <w:rPr>
          <w:rFonts w:ascii="Arial" w:hAnsi="Arial" w:cs="Arial"/>
          <w:sz w:val="72"/>
          <w:szCs w:val="72"/>
        </w:rPr>
      </w:pPr>
      <w:r w:rsidRPr="00247FC9">
        <w:rPr>
          <w:rFonts w:ascii="Arial" w:hAnsi="Arial" w:cs="Arial"/>
          <w:sz w:val="72"/>
          <w:szCs w:val="72"/>
        </w:rPr>
        <w:t>PM</w:t>
      </w:r>
      <w:r w:rsidRPr="00244293">
        <w:rPr>
          <w:rFonts w:ascii="Arial" w:hAnsi="Arial" w:cs="Arial"/>
          <w:sz w:val="72"/>
          <w:szCs w:val="72"/>
          <w:vertAlign w:val="subscript"/>
        </w:rPr>
        <w:t xml:space="preserve">2.5 </w:t>
      </w:r>
      <w:r w:rsidRPr="00247FC9">
        <w:rPr>
          <w:rFonts w:ascii="Arial" w:hAnsi="Arial" w:cs="Arial"/>
          <w:sz w:val="72"/>
          <w:szCs w:val="72"/>
        </w:rPr>
        <w:t xml:space="preserve">Maintenance Provisions for </w:t>
      </w:r>
      <w:r w:rsidR="008924AA">
        <w:rPr>
          <w:rFonts w:ascii="Arial" w:hAnsi="Arial" w:cs="Arial"/>
          <w:sz w:val="72"/>
          <w:szCs w:val="72"/>
        </w:rPr>
        <w:t xml:space="preserve">the </w:t>
      </w:r>
      <w:r w:rsidR="00D61580">
        <w:rPr>
          <w:rFonts w:ascii="Arial" w:hAnsi="Arial" w:cs="Arial"/>
          <w:sz w:val="72"/>
          <w:szCs w:val="72"/>
        </w:rPr>
        <w:t>Salt Lake City</w:t>
      </w:r>
      <w:r w:rsidRPr="00247FC9">
        <w:rPr>
          <w:rFonts w:ascii="Arial" w:hAnsi="Arial" w:cs="Arial"/>
          <w:sz w:val="72"/>
          <w:szCs w:val="72"/>
        </w:rPr>
        <w:t>, UT</w:t>
      </w:r>
      <w:r w:rsidR="008924AA">
        <w:rPr>
          <w:rFonts w:ascii="Arial" w:hAnsi="Arial" w:cs="Arial"/>
          <w:sz w:val="72"/>
          <w:szCs w:val="72"/>
        </w:rPr>
        <w:t xml:space="preserve"> Nonattainment Area</w:t>
      </w:r>
    </w:p>
    <w:p w14:paraId="6CAC8278" w14:textId="77777777" w:rsidR="00247FC9" w:rsidRPr="00247FC9" w:rsidRDefault="00247FC9">
      <w:pPr>
        <w:rPr>
          <w:rStyle w:val="BookTitle"/>
          <w:rFonts w:ascii="Arial" w:hAnsi="Arial" w:cs="Arial"/>
          <w:b w:val="0"/>
          <w:sz w:val="36"/>
          <w:szCs w:val="36"/>
        </w:rPr>
      </w:pPr>
      <w:r>
        <w:rPr>
          <w:rStyle w:val="BookTitle"/>
          <w:rFonts w:ascii="Arial" w:hAnsi="Arial" w:cs="Arial"/>
          <w:b w:val="0"/>
          <w:sz w:val="36"/>
          <w:szCs w:val="36"/>
        </w:rPr>
        <w:t>Section IX.A.</w:t>
      </w:r>
      <w:r w:rsidR="00D61580">
        <w:rPr>
          <w:rStyle w:val="BookTitle"/>
          <w:rFonts w:ascii="Arial" w:hAnsi="Arial" w:cs="Arial"/>
          <w:b w:val="0"/>
          <w:sz w:val="36"/>
          <w:szCs w:val="36"/>
        </w:rPr>
        <w:t>36</w:t>
      </w:r>
    </w:p>
    <w:p w14:paraId="31161DD2" w14:textId="77777777" w:rsidR="00247FC9" w:rsidRDefault="00247FC9">
      <w:pPr>
        <w:rPr>
          <w:rStyle w:val="BookTitle"/>
        </w:rPr>
      </w:pPr>
    </w:p>
    <w:p w14:paraId="3882CE3E" w14:textId="77777777" w:rsidR="00247FC9" w:rsidRDefault="00247FC9">
      <w:pPr>
        <w:rPr>
          <w:rStyle w:val="BookTitle"/>
        </w:rPr>
      </w:pPr>
    </w:p>
    <w:p w14:paraId="0D2EE8E8" w14:textId="77777777" w:rsidR="00E66495" w:rsidRDefault="00E66495">
      <w:pPr>
        <w:rPr>
          <w:rStyle w:val="BookTitle"/>
        </w:rPr>
      </w:pPr>
    </w:p>
    <w:p w14:paraId="5BA9D197" w14:textId="77777777" w:rsidR="00E66495" w:rsidRDefault="00E66495">
      <w:pPr>
        <w:rPr>
          <w:rStyle w:val="BookTitle"/>
        </w:rPr>
      </w:pPr>
    </w:p>
    <w:p w14:paraId="1CDA685F" w14:textId="77777777" w:rsidR="00C24A12" w:rsidRDefault="00C24A12">
      <w:pPr>
        <w:rPr>
          <w:rStyle w:val="BookTitle"/>
        </w:rPr>
      </w:pPr>
    </w:p>
    <w:p w14:paraId="01E2C82D" w14:textId="77777777" w:rsidR="00E66495" w:rsidRDefault="00E66495" w:rsidP="00E66495"/>
    <w:p w14:paraId="49433E58" w14:textId="77777777" w:rsidR="00C24A12" w:rsidRPr="00E66495" w:rsidRDefault="00C24A12" w:rsidP="00E66495"/>
    <w:p w14:paraId="33BB7F53" w14:textId="77777777" w:rsidR="00E66495" w:rsidRPr="00E66495" w:rsidRDefault="00C24A12" w:rsidP="00E66495">
      <w:r>
        <w:rPr>
          <w:noProof/>
        </w:rPr>
        <w:drawing>
          <wp:anchor distT="0" distB="0" distL="114300" distR="114300" simplePos="0" relativeHeight="251656704" behindDoc="0" locked="0" layoutInCell="1" allowOverlap="1" wp14:anchorId="7A730CB9" wp14:editId="16E5DCB3">
            <wp:simplePos x="0" y="0"/>
            <wp:positionH relativeFrom="column">
              <wp:align>left</wp:align>
            </wp:positionH>
            <wp:positionV relativeFrom="paragraph">
              <wp:align>top</wp:align>
            </wp:positionV>
            <wp:extent cx="2904490" cy="10179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1-inch-aq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4490" cy="1017905"/>
                    </a:xfrm>
                    <a:prstGeom prst="rect">
                      <a:avLst/>
                    </a:prstGeom>
                  </pic:spPr>
                </pic:pic>
              </a:graphicData>
            </a:graphic>
          </wp:anchor>
        </w:drawing>
      </w:r>
    </w:p>
    <w:p w14:paraId="3B106653" w14:textId="77777777" w:rsidR="00C24A12" w:rsidRPr="00C24A12" w:rsidRDefault="00C24A12" w:rsidP="00C24A12">
      <w:pPr>
        <w:spacing w:after="120"/>
        <w:sectPr w:rsidR="00C24A12" w:rsidRPr="00C24A12" w:rsidSect="00F939C8">
          <w:headerReference w:type="default" r:id="rId10"/>
          <w:footerReference w:type="default" r:id="rId11"/>
          <w:pgSz w:w="12240" w:h="15840"/>
          <w:pgMar w:top="1440" w:right="1080" w:bottom="1440" w:left="1800" w:header="720" w:footer="720" w:gutter="0"/>
          <w:pgNumType w:fmt="lowerRoman" w:start="0"/>
          <w:cols w:space="720"/>
          <w:titlePg/>
          <w:docGrid w:linePitch="360"/>
        </w:sectPr>
      </w:pPr>
    </w:p>
    <w:sdt>
      <w:sdtPr>
        <w:rPr>
          <w:rFonts w:ascii="Times New Roman" w:eastAsiaTheme="minorHAnsi" w:hAnsi="Times New Roman" w:cstheme="minorBidi"/>
          <w:b w:val="0"/>
          <w:bCs w:val="0"/>
          <w:color w:val="auto"/>
          <w:sz w:val="22"/>
          <w:szCs w:val="22"/>
          <w:lang w:eastAsia="en-US"/>
        </w:rPr>
        <w:id w:val="459081356"/>
        <w:docPartObj>
          <w:docPartGallery w:val="Table of Contents"/>
          <w:docPartUnique/>
        </w:docPartObj>
      </w:sdtPr>
      <w:sdtEndPr>
        <w:rPr>
          <w:noProof/>
        </w:rPr>
      </w:sdtEndPr>
      <w:sdtContent>
        <w:p w14:paraId="7F324974" w14:textId="77777777" w:rsidR="00A0535E" w:rsidRPr="0010518A" w:rsidRDefault="00A0535E">
          <w:pPr>
            <w:pStyle w:val="TOCHeading"/>
            <w:rPr>
              <w:color w:val="auto"/>
            </w:rPr>
          </w:pPr>
          <w:r w:rsidRPr="0010518A">
            <w:rPr>
              <w:rFonts w:ascii="Arial" w:hAnsi="Arial" w:cs="Arial"/>
              <w:color w:val="auto"/>
            </w:rPr>
            <w:t>Table of Contents</w:t>
          </w:r>
        </w:p>
        <w:p w14:paraId="0F6B805D" w14:textId="01485A67" w:rsidR="00F84B86" w:rsidRDefault="004B312A">
          <w:pPr>
            <w:pStyle w:val="TOC1"/>
            <w:rPr>
              <w:rFonts w:asciiTheme="minorHAnsi" w:eastAsiaTheme="minorEastAsia" w:hAnsiTheme="minorHAnsi"/>
              <w:noProof/>
            </w:rPr>
          </w:pPr>
          <w:r>
            <w:fldChar w:fldCharType="begin"/>
          </w:r>
          <w:r w:rsidR="00FB0FDB">
            <w:instrText xml:space="preserve"> TOC \o "1-4" \h \z \u </w:instrText>
          </w:r>
          <w:r>
            <w:fldChar w:fldCharType="separate"/>
          </w:r>
          <w:hyperlink w:anchor="_Toc17268953" w:history="1">
            <w:r w:rsidR="00F84B86" w:rsidRPr="003522CD">
              <w:rPr>
                <w:rStyle w:val="Hyperlink"/>
                <w:noProof/>
              </w:rPr>
              <w:t>IX.A.36.a Introduction</w:t>
            </w:r>
            <w:r w:rsidR="00F84B86">
              <w:rPr>
                <w:noProof/>
                <w:webHidden/>
              </w:rPr>
              <w:tab/>
            </w:r>
            <w:r w:rsidR="00F84B86">
              <w:rPr>
                <w:noProof/>
                <w:webHidden/>
              </w:rPr>
              <w:fldChar w:fldCharType="begin"/>
            </w:r>
            <w:r w:rsidR="00F84B86">
              <w:rPr>
                <w:noProof/>
                <w:webHidden/>
              </w:rPr>
              <w:instrText xml:space="preserve"> PAGEREF _Toc17268953 \h </w:instrText>
            </w:r>
            <w:r w:rsidR="00F84B86">
              <w:rPr>
                <w:noProof/>
                <w:webHidden/>
              </w:rPr>
            </w:r>
            <w:r w:rsidR="00F84B86">
              <w:rPr>
                <w:noProof/>
                <w:webHidden/>
              </w:rPr>
              <w:fldChar w:fldCharType="separate"/>
            </w:r>
            <w:r w:rsidR="00767843">
              <w:rPr>
                <w:noProof/>
                <w:webHidden/>
              </w:rPr>
              <w:t>1</w:t>
            </w:r>
            <w:r w:rsidR="00F84B86">
              <w:rPr>
                <w:noProof/>
                <w:webHidden/>
              </w:rPr>
              <w:fldChar w:fldCharType="end"/>
            </w:r>
          </w:hyperlink>
        </w:p>
        <w:p w14:paraId="2A281999" w14:textId="3E3F48A9" w:rsidR="00F84B86" w:rsidRDefault="00767843">
          <w:pPr>
            <w:pStyle w:val="TOC3"/>
            <w:tabs>
              <w:tab w:val="left" w:pos="880"/>
              <w:tab w:val="right" w:leader="dot" w:pos="9350"/>
            </w:tabs>
            <w:rPr>
              <w:rFonts w:asciiTheme="minorHAnsi" w:eastAsiaTheme="minorEastAsia" w:hAnsiTheme="minorHAnsi"/>
              <w:noProof/>
            </w:rPr>
          </w:pPr>
          <w:hyperlink w:anchor="_Toc17268954" w:history="1">
            <w:r w:rsidR="00F84B86" w:rsidRPr="003522CD">
              <w:rPr>
                <w:rStyle w:val="Hyperlink"/>
                <w:noProof/>
              </w:rPr>
              <w:t>a)</w:t>
            </w:r>
            <w:r w:rsidR="00F84B86">
              <w:rPr>
                <w:rFonts w:asciiTheme="minorHAnsi" w:eastAsiaTheme="minorEastAsia" w:hAnsiTheme="minorHAnsi"/>
                <w:noProof/>
              </w:rPr>
              <w:tab/>
            </w:r>
            <w:r w:rsidR="00F84B86" w:rsidRPr="003522CD">
              <w:rPr>
                <w:rStyle w:val="Hyperlink"/>
                <w:noProof/>
              </w:rPr>
              <w:t>Background</w:t>
            </w:r>
            <w:r w:rsidR="00F84B86">
              <w:rPr>
                <w:noProof/>
                <w:webHidden/>
              </w:rPr>
              <w:tab/>
            </w:r>
            <w:r w:rsidR="00F84B86">
              <w:rPr>
                <w:noProof/>
                <w:webHidden/>
              </w:rPr>
              <w:fldChar w:fldCharType="begin"/>
            </w:r>
            <w:r w:rsidR="00F84B86">
              <w:rPr>
                <w:noProof/>
                <w:webHidden/>
              </w:rPr>
              <w:instrText xml:space="preserve"> PAGEREF _Toc17268954 \h </w:instrText>
            </w:r>
            <w:r w:rsidR="00F84B86">
              <w:rPr>
                <w:noProof/>
                <w:webHidden/>
              </w:rPr>
            </w:r>
            <w:r w:rsidR="00F84B86">
              <w:rPr>
                <w:noProof/>
                <w:webHidden/>
              </w:rPr>
              <w:fldChar w:fldCharType="separate"/>
            </w:r>
            <w:r>
              <w:rPr>
                <w:noProof/>
                <w:webHidden/>
              </w:rPr>
              <w:t>1</w:t>
            </w:r>
            <w:r w:rsidR="00F84B86">
              <w:rPr>
                <w:noProof/>
                <w:webHidden/>
              </w:rPr>
              <w:fldChar w:fldCharType="end"/>
            </w:r>
          </w:hyperlink>
        </w:p>
        <w:p w14:paraId="5F6AC3B1" w14:textId="72DB6C12" w:rsidR="00F84B86" w:rsidRDefault="00767843">
          <w:pPr>
            <w:pStyle w:val="TOC1"/>
            <w:rPr>
              <w:rFonts w:asciiTheme="minorHAnsi" w:eastAsiaTheme="minorEastAsia" w:hAnsiTheme="minorHAnsi"/>
              <w:noProof/>
            </w:rPr>
          </w:pPr>
          <w:hyperlink w:anchor="_Toc17268955" w:history="1">
            <w:r w:rsidR="00F84B86" w:rsidRPr="003522CD">
              <w:rPr>
                <w:rStyle w:val="Hyperlink"/>
                <w:noProof/>
              </w:rPr>
              <w:t>IX.A.36.b Redesignation Requirements</w:t>
            </w:r>
            <w:r w:rsidR="00F84B86">
              <w:rPr>
                <w:noProof/>
                <w:webHidden/>
              </w:rPr>
              <w:tab/>
            </w:r>
            <w:r w:rsidR="00F84B86">
              <w:rPr>
                <w:noProof/>
                <w:webHidden/>
              </w:rPr>
              <w:fldChar w:fldCharType="begin"/>
            </w:r>
            <w:r w:rsidR="00F84B86">
              <w:rPr>
                <w:noProof/>
                <w:webHidden/>
              </w:rPr>
              <w:instrText xml:space="preserve"> PAGEREF _Toc17268955 \h </w:instrText>
            </w:r>
            <w:r w:rsidR="00F84B86">
              <w:rPr>
                <w:noProof/>
                <w:webHidden/>
              </w:rPr>
            </w:r>
            <w:r w:rsidR="00F84B86">
              <w:rPr>
                <w:noProof/>
                <w:webHidden/>
              </w:rPr>
              <w:fldChar w:fldCharType="separate"/>
            </w:r>
            <w:r>
              <w:rPr>
                <w:noProof/>
                <w:webHidden/>
              </w:rPr>
              <w:t>2</w:t>
            </w:r>
            <w:r w:rsidR="00F84B86">
              <w:rPr>
                <w:noProof/>
                <w:webHidden/>
              </w:rPr>
              <w:fldChar w:fldCharType="end"/>
            </w:r>
          </w:hyperlink>
        </w:p>
        <w:p w14:paraId="1DE25796" w14:textId="017B6CBF" w:rsidR="00F84B86" w:rsidRDefault="00767843">
          <w:pPr>
            <w:pStyle w:val="TOC2"/>
            <w:rPr>
              <w:rFonts w:asciiTheme="minorHAnsi" w:eastAsiaTheme="minorEastAsia" w:hAnsiTheme="minorHAnsi" w:cstheme="minorBidi"/>
              <w:b w:val="0"/>
              <w:bCs w:val="0"/>
            </w:rPr>
          </w:pPr>
          <w:hyperlink w:anchor="_Toc17268956" w:history="1">
            <w:r w:rsidR="00F84B86" w:rsidRPr="003522CD">
              <w:rPr>
                <w:rStyle w:val="Hyperlink"/>
              </w:rPr>
              <w:t>(1) The Area Has Attained the PM</w:t>
            </w:r>
            <w:r w:rsidR="00F84B86" w:rsidRPr="003522CD">
              <w:rPr>
                <w:rStyle w:val="Hyperlink"/>
                <w:vertAlign w:val="subscript"/>
              </w:rPr>
              <w:t>2.5</w:t>
            </w:r>
            <w:r w:rsidR="00F84B86" w:rsidRPr="003522CD">
              <w:rPr>
                <w:rStyle w:val="Hyperlink"/>
              </w:rPr>
              <w:t xml:space="preserve"> NAAQS</w:t>
            </w:r>
            <w:r w:rsidR="00F84B86">
              <w:rPr>
                <w:webHidden/>
              </w:rPr>
              <w:tab/>
            </w:r>
            <w:r w:rsidR="00F84B86">
              <w:rPr>
                <w:webHidden/>
              </w:rPr>
              <w:fldChar w:fldCharType="begin"/>
            </w:r>
            <w:r w:rsidR="00F84B86">
              <w:rPr>
                <w:webHidden/>
              </w:rPr>
              <w:instrText xml:space="preserve"> PAGEREF _Toc17268956 \h </w:instrText>
            </w:r>
            <w:r w:rsidR="00F84B86">
              <w:rPr>
                <w:webHidden/>
              </w:rPr>
            </w:r>
            <w:r w:rsidR="00F84B86">
              <w:rPr>
                <w:webHidden/>
              </w:rPr>
              <w:fldChar w:fldCharType="separate"/>
            </w:r>
            <w:r>
              <w:rPr>
                <w:webHidden/>
              </w:rPr>
              <w:t>3</w:t>
            </w:r>
            <w:r w:rsidR="00F84B86">
              <w:rPr>
                <w:webHidden/>
              </w:rPr>
              <w:fldChar w:fldCharType="end"/>
            </w:r>
          </w:hyperlink>
        </w:p>
        <w:p w14:paraId="0F46D9C1" w14:textId="763D3A42" w:rsidR="00F84B86" w:rsidRDefault="00767843">
          <w:pPr>
            <w:pStyle w:val="TOC3"/>
            <w:tabs>
              <w:tab w:val="left" w:pos="880"/>
              <w:tab w:val="right" w:leader="dot" w:pos="9350"/>
            </w:tabs>
            <w:rPr>
              <w:rFonts w:asciiTheme="minorHAnsi" w:eastAsiaTheme="minorEastAsia" w:hAnsiTheme="minorHAnsi"/>
              <w:noProof/>
            </w:rPr>
          </w:pPr>
          <w:hyperlink w:anchor="_Toc17268957" w:history="1">
            <w:r w:rsidR="00F84B86" w:rsidRPr="003522CD">
              <w:rPr>
                <w:rStyle w:val="Hyperlink"/>
                <w:noProof/>
              </w:rPr>
              <w:t>a)</w:t>
            </w:r>
            <w:r w:rsidR="00F84B86">
              <w:rPr>
                <w:rFonts w:asciiTheme="minorHAnsi" w:eastAsiaTheme="minorEastAsia" w:hAnsiTheme="minorHAnsi"/>
                <w:noProof/>
              </w:rPr>
              <w:tab/>
            </w:r>
            <w:r w:rsidR="00F84B86" w:rsidRPr="003522CD">
              <w:rPr>
                <w:rStyle w:val="Hyperlink"/>
                <w:noProof/>
              </w:rPr>
              <w:t>Ambient Air Quality Data (Monitoring) and Utah’s Monitoring Network</w:t>
            </w:r>
            <w:r w:rsidR="00F84B86">
              <w:rPr>
                <w:noProof/>
                <w:webHidden/>
              </w:rPr>
              <w:tab/>
            </w:r>
            <w:r w:rsidR="00F84B86">
              <w:rPr>
                <w:noProof/>
                <w:webHidden/>
              </w:rPr>
              <w:fldChar w:fldCharType="begin"/>
            </w:r>
            <w:r w:rsidR="00F84B86">
              <w:rPr>
                <w:noProof/>
                <w:webHidden/>
              </w:rPr>
              <w:instrText xml:space="preserve"> PAGEREF _Toc17268957 \h </w:instrText>
            </w:r>
            <w:r w:rsidR="00F84B86">
              <w:rPr>
                <w:noProof/>
                <w:webHidden/>
              </w:rPr>
            </w:r>
            <w:r w:rsidR="00F84B86">
              <w:rPr>
                <w:noProof/>
                <w:webHidden/>
              </w:rPr>
              <w:fldChar w:fldCharType="separate"/>
            </w:r>
            <w:r>
              <w:rPr>
                <w:noProof/>
                <w:webHidden/>
              </w:rPr>
              <w:t>3</w:t>
            </w:r>
            <w:r w:rsidR="00F84B86">
              <w:rPr>
                <w:noProof/>
                <w:webHidden/>
              </w:rPr>
              <w:fldChar w:fldCharType="end"/>
            </w:r>
          </w:hyperlink>
        </w:p>
        <w:p w14:paraId="2C1C86CC" w14:textId="29070A1D" w:rsidR="00F84B86" w:rsidRDefault="00767843">
          <w:pPr>
            <w:pStyle w:val="TOC3"/>
            <w:tabs>
              <w:tab w:val="left" w:pos="880"/>
              <w:tab w:val="right" w:leader="dot" w:pos="9350"/>
            </w:tabs>
            <w:rPr>
              <w:rFonts w:asciiTheme="minorHAnsi" w:eastAsiaTheme="minorEastAsia" w:hAnsiTheme="minorHAnsi"/>
              <w:noProof/>
            </w:rPr>
          </w:pPr>
          <w:hyperlink w:anchor="_Toc17268958" w:history="1">
            <w:r w:rsidR="00F84B86" w:rsidRPr="003522CD">
              <w:rPr>
                <w:rStyle w:val="Hyperlink"/>
                <w:noProof/>
              </w:rPr>
              <w:t>b)</w:t>
            </w:r>
            <w:r w:rsidR="00F84B86">
              <w:rPr>
                <w:rFonts w:asciiTheme="minorHAnsi" w:eastAsiaTheme="minorEastAsia" w:hAnsiTheme="minorHAnsi"/>
                <w:noProof/>
              </w:rPr>
              <w:tab/>
            </w:r>
            <w:r w:rsidR="00F84B86" w:rsidRPr="003522CD">
              <w:rPr>
                <w:rStyle w:val="Hyperlink"/>
                <w:noProof/>
              </w:rPr>
              <w:t>Modeling Element</w:t>
            </w:r>
            <w:r w:rsidR="00F84B86">
              <w:rPr>
                <w:noProof/>
                <w:webHidden/>
              </w:rPr>
              <w:tab/>
            </w:r>
            <w:r w:rsidR="00F84B86">
              <w:rPr>
                <w:noProof/>
                <w:webHidden/>
              </w:rPr>
              <w:fldChar w:fldCharType="begin"/>
            </w:r>
            <w:r w:rsidR="00F84B86">
              <w:rPr>
                <w:noProof/>
                <w:webHidden/>
              </w:rPr>
              <w:instrText xml:space="preserve"> PAGEREF _Toc17268958 \h </w:instrText>
            </w:r>
            <w:r w:rsidR="00F84B86">
              <w:rPr>
                <w:noProof/>
                <w:webHidden/>
              </w:rPr>
            </w:r>
            <w:r w:rsidR="00F84B86">
              <w:rPr>
                <w:noProof/>
                <w:webHidden/>
              </w:rPr>
              <w:fldChar w:fldCharType="separate"/>
            </w:r>
            <w:r>
              <w:rPr>
                <w:noProof/>
                <w:webHidden/>
              </w:rPr>
              <w:t>6</w:t>
            </w:r>
            <w:r w:rsidR="00F84B86">
              <w:rPr>
                <w:noProof/>
                <w:webHidden/>
              </w:rPr>
              <w:fldChar w:fldCharType="end"/>
            </w:r>
          </w:hyperlink>
        </w:p>
        <w:p w14:paraId="5D6C171A" w14:textId="5A3F749C" w:rsidR="00F84B86" w:rsidRDefault="00767843">
          <w:pPr>
            <w:pStyle w:val="TOC3"/>
            <w:tabs>
              <w:tab w:val="left" w:pos="880"/>
              <w:tab w:val="right" w:leader="dot" w:pos="9350"/>
            </w:tabs>
            <w:rPr>
              <w:rFonts w:asciiTheme="minorHAnsi" w:eastAsiaTheme="minorEastAsia" w:hAnsiTheme="minorHAnsi"/>
              <w:noProof/>
            </w:rPr>
          </w:pPr>
          <w:hyperlink w:anchor="_Toc17268959" w:history="1">
            <w:r w:rsidR="00F84B86" w:rsidRPr="003522CD">
              <w:rPr>
                <w:rStyle w:val="Hyperlink"/>
                <w:noProof/>
              </w:rPr>
              <w:t>c)</w:t>
            </w:r>
            <w:r w:rsidR="00F84B86">
              <w:rPr>
                <w:rFonts w:asciiTheme="minorHAnsi" w:eastAsiaTheme="minorEastAsia" w:hAnsiTheme="minorHAnsi"/>
                <w:noProof/>
              </w:rPr>
              <w:tab/>
            </w:r>
            <w:r w:rsidR="00F84B86" w:rsidRPr="003522CD">
              <w:rPr>
                <w:rStyle w:val="Hyperlink"/>
                <w:noProof/>
              </w:rPr>
              <w:t>EPA Acknowledgement</w:t>
            </w:r>
            <w:r w:rsidR="00F84B86">
              <w:rPr>
                <w:noProof/>
                <w:webHidden/>
              </w:rPr>
              <w:tab/>
            </w:r>
            <w:r w:rsidR="00F84B86">
              <w:rPr>
                <w:noProof/>
                <w:webHidden/>
              </w:rPr>
              <w:fldChar w:fldCharType="begin"/>
            </w:r>
            <w:r w:rsidR="00F84B86">
              <w:rPr>
                <w:noProof/>
                <w:webHidden/>
              </w:rPr>
              <w:instrText xml:space="preserve"> PAGEREF _Toc17268959 \h </w:instrText>
            </w:r>
            <w:r w:rsidR="00F84B86">
              <w:rPr>
                <w:noProof/>
                <w:webHidden/>
              </w:rPr>
            </w:r>
            <w:r w:rsidR="00F84B86">
              <w:rPr>
                <w:noProof/>
                <w:webHidden/>
              </w:rPr>
              <w:fldChar w:fldCharType="separate"/>
            </w:r>
            <w:r>
              <w:rPr>
                <w:noProof/>
                <w:webHidden/>
              </w:rPr>
              <w:t>7</w:t>
            </w:r>
            <w:r w:rsidR="00F84B86">
              <w:rPr>
                <w:noProof/>
                <w:webHidden/>
              </w:rPr>
              <w:fldChar w:fldCharType="end"/>
            </w:r>
          </w:hyperlink>
        </w:p>
        <w:p w14:paraId="16BF15DE" w14:textId="1A13657A" w:rsidR="00F84B86" w:rsidRDefault="00767843">
          <w:pPr>
            <w:pStyle w:val="TOC2"/>
            <w:rPr>
              <w:rFonts w:asciiTheme="minorHAnsi" w:eastAsiaTheme="minorEastAsia" w:hAnsiTheme="minorHAnsi" w:cstheme="minorBidi"/>
              <w:b w:val="0"/>
              <w:bCs w:val="0"/>
            </w:rPr>
          </w:pPr>
          <w:hyperlink w:anchor="_Toc17268960" w:history="1">
            <w:r w:rsidR="00F84B86" w:rsidRPr="003522CD">
              <w:rPr>
                <w:rStyle w:val="Hyperlink"/>
              </w:rPr>
              <w:t>(2) Fully Approved Attainment Plan for PM</w:t>
            </w:r>
            <w:r w:rsidR="00F84B86" w:rsidRPr="003522CD">
              <w:rPr>
                <w:rStyle w:val="Hyperlink"/>
                <w:vertAlign w:val="subscript"/>
              </w:rPr>
              <w:t>2.5</w:t>
            </w:r>
            <w:r w:rsidR="00F84B86">
              <w:rPr>
                <w:webHidden/>
              </w:rPr>
              <w:tab/>
            </w:r>
            <w:r w:rsidR="00F84B86">
              <w:rPr>
                <w:webHidden/>
              </w:rPr>
              <w:fldChar w:fldCharType="begin"/>
            </w:r>
            <w:r w:rsidR="00F84B86">
              <w:rPr>
                <w:webHidden/>
              </w:rPr>
              <w:instrText xml:space="preserve"> PAGEREF _Toc17268960 \h </w:instrText>
            </w:r>
            <w:r w:rsidR="00F84B86">
              <w:rPr>
                <w:webHidden/>
              </w:rPr>
            </w:r>
            <w:r w:rsidR="00F84B86">
              <w:rPr>
                <w:webHidden/>
              </w:rPr>
              <w:fldChar w:fldCharType="separate"/>
            </w:r>
            <w:r>
              <w:rPr>
                <w:webHidden/>
              </w:rPr>
              <w:t>7</w:t>
            </w:r>
            <w:r w:rsidR="00F84B86">
              <w:rPr>
                <w:webHidden/>
              </w:rPr>
              <w:fldChar w:fldCharType="end"/>
            </w:r>
          </w:hyperlink>
        </w:p>
        <w:p w14:paraId="3BB69BD2" w14:textId="37A75B2F" w:rsidR="00F84B86" w:rsidRDefault="00767843">
          <w:pPr>
            <w:pStyle w:val="TOC2"/>
            <w:rPr>
              <w:rFonts w:asciiTheme="minorHAnsi" w:eastAsiaTheme="minorEastAsia" w:hAnsiTheme="minorHAnsi" w:cstheme="minorBidi"/>
              <w:b w:val="0"/>
              <w:bCs w:val="0"/>
            </w:rPr>
          </w:pPr>
          <w:hyperlink w:anchor="_Toc17268961" w:history="1">
            <w:r w:rsidR="00F84B86" w:rsidRPr="003522CD">
              <w:rPr>
                <w:rStyle w:val="Hyperlink"/>
              </w:rPr>
              <w:t>(3) Improvements in Air Quality Due to Permanent and Enforceable Reductions in Emissions</w:t>
            </w:r>
            <w:r w:rsidR="00F84B86">
              <w:rPr>
                <w:webHidden/>
              </w:rPr>
              <w:tab/>
            </w:r>
            <w:r w:rsidR="00F84B86">
              <w:rPr>
                <w:webHidden/>
              </w:rPr>
              <w:fldChar w:fldCharType="begin"/>
            </w:r>
            <w:r w:rsidR="00F84B86">
              <w:rPr>
                <w:webHidden/>
              </w:rPr>
              <w:instrText xml:space="preserve"> PAGEREF _Toc17268961 \h </w:instrText>
            </w:r>
            <w:r w:rsidR="00F84B86">
              <w:rPr>
                <w:webHidden/>
              </w:rPr>
            </w:r>
            <w:r w:rsidR="00F84B86">
              <w:rPr>
                <w:webHidden/>
              </w:rPr>
              <w:fldChar w:fldCharType="separate"/>
            </w:r>
            <w:r>
              <w:rPr>
                <w:webHidden/>
              </w:rPr>
              <w:t>11</w:t>
            </w:r>
            <w:r w:rsidR="00F84B86">
              <w:rPr>
                <w:webHidden/>
              </w:rPr>
              <w:fldChar w:fldCharType="end"/>
            </w:r>
          </w:hyperlink>
        </w:p>
        <w:p w14:paraId="6784ADA4" w14:textId="087B84D8" w:rsidR="00F84B86" w:rsidRDefault="00767843">
          <w:pPr>
            <w:pStyle w:val="TOC3"/>
            <w:tabs>
              <w:tab w:val="left" w:pos="880"/>
              <w:tab w:val="right" w:leader="dot" w:pos="9350"/>
            </w:tabs>
            <w:rPr>
              <w:rFonts w:asciiTheme="minorHAnsi" w:eastAsiaTheme="minorEastAsia" w:hAnsiTheme="minorHAnsi"/>
              <w:noProof/>
            </w:rPr>
          </w:pPr>
          <w:hyperlink w:anchor="_Toc17268962" w:history="1">
            <w:r w:rsidR="00F84B86" w:rsidRPr="003522CD">
              <w:rPr>
                <w:rStyle w:val="Hyperlink"/>
                <w:noProof/>
              </w:rPr>
              <w:t>a)</w:t>
            </w:r>
            <w:r w:rsidR="00F84B86">
              <w:rPr>
                <w:rFonts w:asciiTheme="minorHAnsi" w:eastAsiaTheme="minorEastAsia" w:hAnsiTheme="minorHAnsi"/>
                <w:noProof/>
              </w:rPr>
              <w:tab/>
            </w:r>
            <w:r w:rsidR="00F84B86" w:rsidRPr="003522CD">
              <w:rPr>
                <w:rStyle w:val="Hyperlink"/>
                <w:noProof/>
              </w:rPr>
              <w:t>Improvement in Air Quality</w:t>
            </w:r>
            <w:r w:rsidR="00F84B86">
              <w:rPr>
                <w:noProof/>
                <w:webHidden/>
              </w:rPr>
              <w:tab/>
            </w:r>
            <w:r w:rsidR="00F84B86">
              <w:rPr>
                <w:noProof/>
                <w:webHidden/>
              </w:rPr>
              <w:fldChar w:fldCharType="begin"/>
            </w:r>
            <w:r w:rsidR="00F84B86">
              <w:rPr>
                <w:noProof/>
                <w:webHidden/>
              </w:rPr>
              <w:instrText xml:space="preserve"> PAGEREF _Toc17268962 \h </w:instrText>
            </w:r>
            <w:r w:rsidR="00F84B86">
              <w:rPr>
                <w:noProof/>
                <w:webHidden/>
              </w:rPr>
            </w:r>
            <w:r w:rsidR="00F84B86">
              <w:rPr>
                <w:noProof/>
                <w:webHidden/>
              </w:rPr>
              <w:fldChar w:fldCharType="separate"/>
            </w:r>
            <w:r>
              <w:rPr>
                <w:noProof/>
                <w:webHidden/>
              </w:rPr>
              <w:t>12</w:t>
            </w:r>
            <w:r w:rsidR="00F84B86">
              <w:rPr>
                <w:noProof/>
                <w:webHidden/>
              </w:rPr>
              <w:fldChar w:fldCharType="end"/>
            </w:r>
          </w:hyperlink>
        </w:p>
        <w:p w14:paraId="68064B10" w14:textId="7DEA0496" w:rsidR="00F84B86" w:rsidRDefault="00767843">
          <w:pPr>
            <w:pStyle w:val="TOC4"/>
            <w:tabs>
              <w:tab w:val="left" w:pos="1100"/>
              <w:tab w:val="right" w:leader="dot" w:pos="9350"/>
            </w:tabs>
            <w:rPr>
              <w:rFonts w:asciiTheme="minorHAnsi" w:eastAsiaTheme="minorEastAsia" w:hAnsiTheme="minorHAnsi"/>
              <w:noProof/>
            </w:rPr>
          </w:pPr>
          <w:hyperlink w:anchor="_Toc17268963" w:history="1">
            <w:r w:rsidR="00F84B86" w:rsidRPr="003522CD">
              <w:rPr>
                <w:rStyle w:val="Hyperlink"/>
                <w:noProof/>
              </w:rPr>
              <w:t>i.</w:t>
            </w:r>
            <w:r w:rsidR="00F84B86">
              <w:rPr>
                <w:rFonts w:asciiTheme="minorHAnsi" w:eastAsiaTheme="minorEastAsia" w:hAnsiTheme="minorHAnsi"/>
                <w:noProof/>
              </w:rPr>
              <w:tab/>
            </w:r>
            <w:r w:rsidR="00F84B86" w:rsidRPr="003522CD">
              <w:rPr>
                <w:rStyle w:val="Hyperlink"/>
                <w:noProof/>
              </w:rPr>
              <w:t>Reduction in Emissions</w:t>
            </w:r>
            <w:r w:rsidR="00F84B86">
              <w:rPr>
                <w:noProof/>
                <w:webHidden/>
              </w:rPr>
              <w:tab/>
            </w:r>
            <w:r w:rsidR="00F84B86">
              <w:rPr>
                <w:noProof/>
                <w:webHidden/>
              </w:rPr>
              <w:fldChar w:fldCharType="begin"/>
            </w:r>
            <w:r w:rsidR="00F84B86">
              <w:rPr>
                <w:noProof/>
                <w:webHidden/>
              </w:rPr>
              <w:instrText xml:space="preserve"> PAGEREF _Toc17268963 \h </w:instrText>
            </w:r>
            <w:r w:rsidR="00F84B86">
              <w:rPr>
                <w:noProof/>
                <w:webHidden/>
              </w:rPr>
            </w:r>
            <w:r w:rsidR="00F84B86">
              <w:rPr>
                <w:noProof/>
                <w:webHidden/>
              </w:rPr>
              <w:fldChar w:fldCharType="separate"/>
            </w:r>
            <w:r>
              <w:rPr>
                <w:noProof/>
                <w:webHidden/>
              </w:rPr>
              <w:t>14</w:t>
            </w:r>
            <w:r w:rsidR="00F84B86">
              <w:rPr>
                <w:noProof/>
                <w:webHidden/>
              </w:rPr>
              <w:fldChar w:fldCharType="end"/>
            </w:r>
          </w:hyperlink>
        </w:p>
        <w:p w14:paraId="547A8086" w14:textId="5853BA5C" w:rsidR="00F84B86" w:rsidRDefault="00767843">
          <w:pPr>
            <w:pStyle w:val="TOC2"/>
            <w:rPr>
              <w:rFonts w:asciiTheme="minorHAnsi" w:eastAsiaTheme="minorEastAsia" w:hAnsiTheme="minorHAnsi" w:cstheme="minorBidi"/>
              <w:b w:val="0"/>
              <w:bCs w:val="0"/>
            </w:rPr>
          </w:pPr>
          <w:hyperlink w:anchor="_Toc17268964" w:history="1">
            <w:r w:rsidR="00F84B86" w:rsidRPr="003522CD">
              <w:rPr>
                <w:rStyle w:val="Hyperlink"/>
              </w:rPr>
              <w:t>(4) State has Met Requirements of Section 110 and Part D</w:t>
            </w:r>
            <w:r w:rsidR="00F84B86">
              <w:rPr>
                <w:webHidden/>
              </w:rPr>
              <w:tab/>
            </w:r>
            <w:r w:rsidR="00F84B86">
              <w:rPr>
                <w:webHidden/>
              </w:rPr>
              <w:fldChar w:fldCharType="begin"/>
            </w:r>
            <w:r w:rsidR="00F84B86">
              <w:rPr>
                <w:webHidden/>
              </w:rPr>
              <w:instrText xml:space="preserve"> PAGEREF _Toc17268964 \h </w:instrText>
            </w:r>
            <w:r w:rsidR="00F84B86">
              <w:rPr>
                <w:webHidden/>
              </w:rPr>
            </w:r>
            <w:r w:rsidR="00F84B86">
              <w:rPr>
                <w:webHidden/>
              </w:rPr>
              <w:fldChar w:fldCharType="separate"/>
            </w:r>
            <w:r>
              <w:rPr>
                <w:webHidden/>
              </w:rPr>
              <w:t>20</w:t>
            </w:r>
            <w:r w:rsidR="00F84B86">
              <w:rPr>
                <w:webHidden/>
              </w:rPr>
              <w:fldChar w:fldCharType="end"/>
            </w:r>
          </w:hyperlink>
        </w:p>
        <w:p w14:paraId="7AA17B1A" w14:textId="58A8F5A4" w:rsidR="00F84B86" w:rsidRDefault="00767843">
          <w:pPr>
            <w:pStyle w:val="TOC3"/>
            <w:tabs>
              <w:tab w:val="left" w:pos="880"/>
              <w:tab w:val="right" w:leader="dot" w:pos="9350"/>
            </w:tabs>
            <w:rPr>
              <w:rFonts w:asciiTheme="minorHAnsi" w:eastAsiaTheme="minorEastAsia" w:hAnsiTheme="minorHAnsi"/>
              <w:noProof/>
            </w:rPr>
          </w:pPr>
          <w:hyperlink w:anchor="_Toc17268965" w:history="1">
            <w:r w:rsidR="00F84B86" w:rsidRPr="003522CD">
              <w:rPr>
                <w:rStyle w:val="Hyperlink"/>
                <w:noProof/>
              </w:rPr>
              <w:t>a)</w:t>
            </w:r>
            <w:r w:rsidR="00F84B86">
              <w:rPr>
                <w:rFonts w:asciiTheme="minorHAnsi" w:eastAsiaTheme="minorEastAsia" w:hAnsiTheme="minorHAnsi"/>
                <w:noProof/>
              </w:rPr>
              <w:tab/>
            </w:r>
            <w:r w:rsidR="00F84B86" w:rsidRPr="003522CD">
              <w:rPr>
                <w:rStyle w:val="Hyperlink"/>
                <w:noProof/>
              </w:rPr>
              <w:t>Section 110</w:t>
            </w:r>
            <w:r w:rsidR="00F84B86">
              <w:rPr>
                <w:noProof/>
                <w:webHidden/>
              </w:rPr>
              <w:tab/>
            </w:r>
            <w:r w:rsidR="00F84B86">
              <w:rPr>
                <w:noProof/>
                <w:webHidden/>
              </w:rPr>
              <w:fldChar w:fldCharType="begin"/>
            </w:r>
            <w:r w:rsidR="00F84B86">
              <w:rPr>
                <w:noProof/>
                <w:webHidden/>
              </w:rPr>
              <w:instrText xml:space="preserve"> PAGEREF _Toc17268965 \h </w:instrText>
            </w:r>
            <w:r w:rsidR="00F84B86">
              <w:rPr>
                <w:noProof/>
                <w:webHidden/>
              </w:rPr>
            </w:r>
            <w:r w:rsidR="00F84B86">
              <w:rPr>
                <w:noProof/>
                <w:webHidden/>
              </w:rPr>
              <w:fldChar w:fldCharType="separate"/>
            </w:r>
            <w:r>
              <w:rPr>
                <w:noProof/>
                <w:webHidden/>
              </w:rPr>
              <w:t>20</w:t>
            </w:r>
            <w:r w:rsidR="00F84B86">
              <w:rPr>
                <w:noProof/>
                <w:webHidden/>
              </w:rPr>
              <w:fldChar w:fldCharType="end"/>
            </w:r>
          </w:hyperlink>
        </w:p>
        <w:p w14:paraId="1FFCA044" w14:textId="29A67978" w:rsidR="00F84B86" w:rsidRDefault="00767843">
          <w:pPr>
            <w:pStyle w:val="TOC3"/>
            <w:tabs>
              <w:tab w:val="left" w:pos="880"/>
              <w:tab w:val="right" w:leader="dot" w:pos="9350"/>
            </w:tabs>
            <w:rPr>
              <w:rFonts w:asciiTheme="minorHAnsi" w:eastAsiaTheme="minorEastAsia" w:hAnsiTheme="minorHAnsi"/>
              <w:noProof/>
            </w:rPr>
          </w:pPr>
          <w:hyperlink w:anchor="_Toc17268966" w:history="1">
            <w:r w:rsidR="00F84B86" w:rsidRPr="003522CD">
              <w:rPr>
                <w:rStyle w:val="Hyperlink"/>
                <w:noProof/>
              </w:rPr>
              <w:t>b)</w:t>
            </w:r>
            <w:r w:rsidR="00F84B86">
              <w:rPr>
                <w:rFonts w:asciiTheme="minorHAnsi" w:eastAsiaTheme="minorEastAsia" w:hAnsiTheme="minorHAnsi"/>
                <w:noProof/>
              </w:rPr>
              <w:tab/>
            </w:r>
            <w:r w:rsidR="00F84B86" w:rsidRPr="003522CD">
              <w:rPr>
                <w:rStyle w:val="Hyperlink"/>
                <w:noProof/>
              </w:rPr>
              <w:t>Part D Subpart 1 and 4</w:t>
            </w:r>
            <w:r w:rsidR="00F84B86">
              <w:rPr>
                <w:noProof/>
                <w:webHidden/>
              </w:rPr>
              <w:tab/>
            </w:r>
            <w:r w:rsidR="00F84B86">
              <w:rPr>
                <w:noProof/>
                <w:webHidden/>
              </w:rPr>
              <w:fldChar w:fldCharType="begin"/>
            </w:r>
            <w:r w:rsidR="00F84B86">
              <w:rPr>
                <w:noProof/>
                <w:webHidden/>
              </w:rPr>
              <w:instrText xml:space="preserve"> PAGEREF _Toc17268966 \h </w:instrText>
            </w:r>
            <w:r w:rsidR="00F84B86">
              <w:rPr>
                <w:noProof/>
                <w:webHidden/>
              </w:rPr>
            </w:r>
            <w:r w:rsidR="00F84B86">
              <w:rPr>
                <w:noProof/>
                <w:webHidden/>
              </w:rPr>
              <w:fldChar w:fldCharType="separate"/>
            </w:r>
            <w:r>
              <w:rPr>
                <w:noProof/>
                <w:webHidden/>
              </w:rPr>
              <w:t>20</w:t>
            </w:r>
            <w:r w:rsidR="00F84B86">
              <w:rPr>
                <w:noProof/>
                <w:webHidden/>
              </w:rPr>
              <w:fldChar w:fldCharType="end"/>
            </w:r>
          </w:hyperlink>
        </w:p>
        <w:p w14:paraId="399D0215" w14:textId="67865DB2" w:rsidR="00F84B86" w:rsidRDefault="00767843">
          <w:pPr>
            <w:pStyle w:val="TOC2"/>
            <w:rPr>
              <w:rFonts w:asciiTheme="minorHAnsi" w:eastAsiaTheme="minorEastAsia" w:hAnsiTheme="minorHAnsi" w:cstheme="minorBidi"/>
              <w:b w:val="0"/>
              <w:bCs w:val="0"/>
            </w:rPr>
          </w:pPr>
          <w:hyperlink w:anchor="_Toc17268967" w:history="1">
            <w:r w:rsidR="00F84B86" w:rsidRPr="003522CD">
              <w:rPr>
                <w:rStyle w:val="Hyperlink"/>
              </w:rPr>
              <w:t>(5) Maintenance Plan for PM</w:t>
            </w:r>
            <w:r w:rsidR="00F84B86" w:rsidRPr="003522CD">
              <w:rPr>
                <w:rStyle w:val="Hyperlink"/>
                <w:vertAlign w:val="subscript"/>
              </w:rPr>
              <w:t xml:space="preserve">2.5 </w:t>
            </w:r>
            <w:r w:rsidR="00F84B86" w:rsidRPr="003522CD">
              <w:rPr>
                <w:rStyle w:val="Hyperlink"/>
              </w:rPr>
              <w:t>Areas</w:t>
            </w:r>
            <w:r w:rsidR="00F84B86">
              <w:rPr>
                <w:webHidden/>
              </w:rPr>
              <w:tab/>
            </w:r>
            <w:r w:rsidR="00F84B86">
              <w:rPr>
                <w:webHidden/>
              </w:rPr>
              <w:fldChar w:fldCharType="begin"/>
            </w:r>
            <w:r w:rsidR="00F84B86">
              <w:rPr>
                <w:webHidden/>
              </w:rPr>
              <w:instrText xml:space="preserve"> PAGEREF _Toc17268967 \h </w:instrText>
            </w:r>
            <w:r w:rsidR="00F84B86">
              <w:rPr>
                <w:webHidden/>
              </w:rPr>
            </w:r>
            <w:r w:rsidR="00F84B86">
              <w:rPr>
                <w:webHidden/>
              </w:rPr>
              <w:fldChar w:fldCharType="separate"/>
            </w:r>
            <w:r>
              <w:rPr>
                <w:webHidden/>
              </w:rPr>
              <w:t>20</w:t>
            </w:r>
            <w:r w:rsidR="00F84B86">
              <w:rPr>
                <w:webHidden/>
              </w:rPr>
              <w:fldChar w:fldCharType="end"/>
            </w:r>
          </w:hyperlink>
        </w:p>
        <w:p w14:paraId="5765AE01" w14:textId="3A199964" w:rsidR="00F84B86" w:rsidRDefault="00767843">
          <w:pPr>
            <w:pStyle w:val="TOC1"/>
            <w:rPr>
              <w:rFonts w:asciiTheme="minorHAnsi" w:eastAsiaTheme="minorEastAsia" w:hAnsiTheme="minorHAnsi"/>
              <w:noProof/>
            </w:rPr>
          </w:pPr>
          <w:hyperlink w:anchor="_Toc17268968" w:history="1">
            <w:r w:rsidR="00F84B86" w:rsidRPr="003522CD">
              <w:rPr>
                <w:rStyle w:val="Hyperlink"/>
                <w:noProof/>
              </w:rPr>
              <w:t>IX.A.36.c Maintenance Plan</w:t>
            </w:r>
            <w:r w:rsidR="00F84B86">
              <w:rPr>
                <w:noProof/>
                <w:webHidden/>
              </w:rPr>
              <w:tab/>
            </w:r>
            <w:r w:rsidR="00F84B86">
              <w:rPr>
                <w:noProof/>
                <w:webHidden/>
              </w:rPr>
              <w:fldChar w:fldCharType="begin"/>
            </w:r>
            <w:r w:rsidR="00F84B86">
              <w:rPr>
                <w:noProof/>
                <w:webHidden/>
              </w:rPr>
              <w:instrText xml:space="preserve"> PAGEREF _Toc17268968 \h </w:instrText>
            </w:r>
            <w:r w:rsidR="00F84B86">
              <w:rPr>
                <w:noProof/>
                <w:webHidden/>
              </w:rPr>
            </w:r>
            <w:r w:rsidR="00F84B86">
              <w:rPr>
                <w:noProof/>
                <w:webHidden/>
              </w:rPr>
              <w:fldChar w:fldCharType="separate"/>
            </w:r>
            <w:r>
              <w:rPr>
                <w:noProof/>
                <w:webHidden/>
              </w:rPr>
              <w:t>21</w:t>
            </w:r>
            <w:r w:rsidR="00F84B86">
              <w:rPr>
                <w:noProof/>
                <w:webHidden/>
              </w:rPr>
              <w:fldChar w:fldCharType="end"/>
            </w:r>
          </w:hyperlink>
        </w:p>
        <w:p w14:paraId="72D1360D" w14:textId="3F52F5B1" w:rsidR="00F84B86" w:rsidRDefault="00767843">
          <w:pPr>
            <w:pStyle w:val="TOC2"/>
            <w:rPr>
              <w:rFonts w:asciiTheme="minorHAnsi" w:eastAsiaTheme="minorEastAsia" w:hAnsiTheme="minorHAnsi" w:cstheme="minorBidi"/>
              <w:b w:val="0"/>
              <w:bCs w:val="0"/>
            </w:rPr>
          </w:pPr>
          <w:hyperlink w:anchor="_Toc17268969" w:history="1">
            <w:r w:rsidR="00F84B86" w:rsidRPr="003522CD">
              <w:rPr>
                <w:rStyle w:val="Hyperlink"/>
              </w:rPr>
              <w:t>(1) Demonstration of Maintenance - Modeling Analysis</w:t>
            </w:r>
            <w:r w:rsidR="00F84B86">
              <w:rPr>
                <w:webHidden/>
              </w:rPr>
              <w:tab/>
            </w:r>
            <w:r w:rsidR="00F84B86">
              <w:rPr>
                <w:webHidden/>
              </w:rPr>
              <w:fldChar w:fldCharType="begin"/>
            </w:r>
            <w:r w:rsidR="00F84B86">
              <w:rPr>
                <w:webHidden/>
              </w:rPr>
              <w:instrText xml:space="preserve"> PAGEREF _Toc17268969 \h </w:instrText>
            </w:r>
            <w:r w:rsidR="00F84B86">
              <w:rPr>
                <w:webHidden/>
              </w:rPr>
            </w:r>
            <w:r w:rsidR="00F84B86">
              <w:rPr>
                <w:webHidden/>
              </w:rPr>
              <w:fldChar w:fldCharType="separate"/>
            </w:r>
            <w:r>
              <w:rPr>
                <w:webHidden/>
              </w:rPr>
              <w:t>21</w:t>
            </w:r>
            <w:r w:rsidR="00F84B86">
              <w:rPr>
                <w:webHidden/>
              </w:rPr>
              <w:fldChar w:fldCharType="end"/>
            </w:r>
          </w:hyperlink>
        </w:p>
        <w:p w14:paraId="5F137AD2" w14:textId="13390408" w:rsidR="00F84B86" w:rsidRDefault="00767843">
          <w:pPr>
            <w:pStyle w:val="TOC3"/>
            <w:tabs>
              <w:tab w:val="right" w:leader="dot" w:pos="9350"/>
            </w:tabs>
            <w:rPr>
              <w:rFonts w:asciiTheme="minorHAnsi" w:eastAsiaTheme="minorEastAsia" w:hAnsiTheme="minorHAnsi"/>
              <w:noProof/>
            </w:rPr>
          </w:pPr>
          <w:hyperlink w:anchor="_Toc17268970" w:history="1">
            <w:r w:rsidR="00F84B86" w:rsidRPr="003522CD">
              <w:rPr>
                <w:rStyle w:val="Hyperlink"/>
                <w:noProof/>
              </w:rPr>
              <w:t>(a) Introduction</w:t>
            </w:r>
            <w:r w:rsidR="00F84B86">
              <w:rPr>
                <w:noProof/>
                <w:webHidden/>
              </w:rPr>
              <w:tab/>
            </w:r>
            <w:r w:rsidR="00F84B86">
              <w:rPr>
                <w:noProof/>
                <w:webHidden/>
              </w:rPr>
              <w:fldChar w:fldCharType="begin"/>
            </w:r>
            <w:r w:rsidR="00F84B86">
              <w:rPr>
                <w:noProof/>
                <w:webHidden/>
              </w:rPr>
              <w:instrText xml:space="preserve"> PAGEREF _Toc17268970 \h </w:instrText>
            </w:r>
            <w:r w:rsidR="00F84B86">
              <w:rPr>
                <w:noProof/>
                <w:webHidden/>
              </w:rPr>
            </w:r>
            <w:r w:rsidR="00F84B86">
              <w:rPr>
                <w:noProof/>
                <w:webHidden/>
              </w:rPr>
              <w:fldChar w:fldCharType="separate"/>
            </w:r>
            <w:r>
              <w:rPr>
                <w:noProof/>
                <w:webHidden/>
              </w:rPr>
              <w:t>22</w:t>
            </w:r>
            <w:r w:rsidR="00F84B86">
              <w:rPr>
                <w:noProof/>
                <w:webHidden/>
              </w:rPr>
              <w:fldChar w:fldCharType="end"/>
            </w:r>
          </w:hyperlink>
        </w:p>
        <w:p w14:paraId="095BABED" w14:textId="2BFB6827" w:rsidR="00F84B86" w:rsidRDefault="00767843">
          <w:pPr>
            <w:pStyle w:val="TOC3"/>
            <w:tabs>
              <w:tab w:val="right" w:leader="dot" w:pos="9350"/>
            </w:tabs>
            <w:rPr>
              <w:rFonts w:asciiTheme="minorHAnsi" w:eastAsiaTheme="minorEastAsia" w:hAnsiTheme="minorHAnsi"/>
              <w:noProof/>
            </w:rPr>
          </w:pPr>
          <w:hyperlink w:anchor="_Toc17268971" w:history="1">
            <w:r w:rsidR="00F84B86" w:rsidRPr="003522CD">
              <w:rPr>
                <w:rStyle w:val="Hyperlink"/>
                <w:noProof/>
              </w:rPr>
              <w:t>(b) Photochemical Modeling</w:t>
            </w:r>
            <w:r w:rsidR="00F84B86">
              <w:rPr>
                <w:noProof/>
                <w:webHidden/>
              </w:rPr>
              <w:tab/>
            </w:r>
            <w:r w:rsidR="00F84B86">
              <w:rPr>
                <w:noProof/>
                <w:webHidden/>
              </w:rPr>
              <w:fldChar w:fldCharType="begin"/>
            </w:r>
            <w:r w:rsidR="00F84B86">
              <w:rPr>
                <w:noProof/>
                <w:webHidden/>
              </w:rPr>
              <w:instrText xml:space="preserve"> PAGEREF _Toc17268971 \h </w:instrText>
            </w:r>
            <w:r w:rsidR="00F84B86">
              <w:rPr>
                <w:noProof/>
                <w:webHidden/>
              </w:rPr>
            </w:r>
            <w:r w:rsidR="00F84B86">
              <w:rPr>
                <w:noProof/>
                <w:webHidden/>
              </w:rPr>
              <w:fldChar w:fldCharType="separate"/>
            </w:r>
            <w:r>
              <w:rPr>
                <w:noProof/>
                <w:webHidden/>
              </w:rPr>
              <w:t>22</w:t>
            </w:r>
            <w:r w:rsidR="00F84B86">
              <w:rPr>
                <w:noProof/>
                <w:webHidden/>
              </w:rPr>
              <w:fldChar w:fldCharType="end"/>
            </w:r>
          </w:hyperlink>
        </w:p>
        <w:p w14:paraId="1CDF4A36" w14:textId="720080F3" w:rsidR="00F84B86" w:rsidRDefault="00767843">
          <w:pPr>
            <w:pStyle w:val="TOC4"/>
            <w:tabs>
              <w:tab w:val="left" w:pos="1100"/>
              <w:tab w:val="right" w:leader="dot" w:pos="9350"/>
            </w:tabs>
            <w:rPr>
              <w:rFonts w:asciiTheme="minorHAnsi" w:eastAsiaTheme="minorEastAsia" w:hAnsiTheme="minorHAnsi"/>
              <w:noProof/>
            </w:rPr>
          </w:pPr>
          <w:hyperlink w:anchor="_Toc17268972" w:history="1">
            <w:r w:rsidR="00F84B86" w:rsidRPr="003522CD">
              <w:rPr>
                <w:rStyle w:val="Hyperlink"/>
                <w:noProof/>
              </w:rPr>
              <w:t>i.</w:t>
            </w:r>
            <w:r w:rsidR="00F84B86">
              <w:rPr>
                <w:rFonts w:asciiTheme="minorHAnsi" w:eastAsiaTheme="minorEastAsia" w:hAnsiTheme="minorHAnsi"/>
                <w:noProof/>
              </w:rPr>
              <w:tab/>
            </w:r>
            <w:r w:rsidR="00F84B86" w:rsidRPr="003522CD">
              <w:rPr>
                <w:rStyle w:val="Hyperlink"/>
                <w:noProof/>
              </w:rPr>
              <w:t>Emissions Preparation</w:t>
            </w:r>
            <w:r w:rsidR="00F84B86">
              <w:rPr>
                <w:noProof/>
                <w:webHidden/>
              </w:rPr>
              <w:tab/>
            </w:r>
            <w:r w:rsidR="00F84B86">
              <w:rPr>
                <w:noProof/>
                <w:webHidden/>
              </w:rPr>
              <w:fldChar w:fldCharType="begin"/>
            </w:r>
            <w:r w:rsidR="00F84B86">
              <w:rPr>
                <w:noProof/>
                <w:webHidden/>
              </w:rPr>
              <w:instrText xml:space="preserve"> PAGEREF _Toc17268972 \h </w:instrText>
            </w:r>
            <w:r w:rsidR="00F84B86">
              <w:rPr>
                <w:noProof/>
                <w:webHidden/>
              </w:rPr>
            </w:r>
            <w:r w:rsidR="00F84B86">
              <w:rPr>
                <w:noProof/>
                <w:webHidden/>
              </w:rPr>
              <w:fldChar w:fldCharType="separate"/>
            </w:r>
            <w:r>
              <w:rPr>
                <w:noProof/>
                <w:webHidden/>
              </w:rPr>
              <w:t>22</w:t>
            </w:r>
            <w:r w:rsidR="00F84B86">
              <w:rPr>
                <w:noProof/>
                <w:webHidden/>
              </w:rPr>
              <w:fldChar w:fldCharType="end"/>
            </w:r>
          </w:hyperlink>
        </w:p>
        <w:p w14:paraId="3D2ECC6A" w14:textId="313213C3" w:rsidR="00F84B86" w:rsidRDefault="00767843">
          <w:pPr>
            <w:pStyle w:val="TOC4"/>
            <w:tabs>
              <w:tab w:val="left" w:pos="1100"/>
              <w:tab w:val="right" w:leader="dot" w:pos="9350"/>
            </w:tabs>
            <w:rPr>
              <w:rFonts w:asciiTheme="minorHAnsi" w:eastAsiaTheme="minorEastAsia" w:hAnsiTheme="minorHAnsi"/>
              <w:noProof/>
            </w:rPr>
          </w:pPr>
          <w:hyperlink w:anchor="_Toc17268973" w:history="1">
            <w:r w:rsidR="00F84B86" w:rsidRPr="003522CD">
              <w:rPr>
                <w:rStyle w:val="Hyperlink"/>
                <w:noProof/>
                <w:lang w:val="en"/>
              </w:rPr>
              <w:t>ii.</w:t>
            </w:r>
            <w:r w:rsidR="00F84B86">
              <w:rPr>
                <w:rFonts w:asciiTheme="minorHAnsi" w:eastAsiaTheme="minorEastAsia" w:hAnsiTheme="minorHAnsi"/>
                <w:noProof/>
              </w:rPr>
              <w:tab/>
            </w:r>
            <w:r w:rsidR="00F84B86" w:rsidRPr="003522CD">
              <w:rPr>
                <w:rStyle w:val="Hyperlink"/>
                <w:noProof/>
                <w:lang w:val="en"/>
              </w:rPr>
              <w:t>Photochemical Modeling Domains and Grid Resolution</w:t>
            </w:r>
            <w:r w:rsidR="00F84B86">
              <w:rPr>
                <w:noProof/>
                <w:webHidden/>
              </w:rPr>
              <w:tab/>
            </w:r>
            <w:r w:rsidR="00F84B86">
              <w:rPr>
                <w:noProof/>
                <w:webHidden/>
              </w:rPr>
              <w:fldChar w:fldCharType="begin"/>
            </w:r>
            <w:r w:rsidR="00F84B86">
              <w:rPr>
                <w:noProof/>
                <w:webHidden/>
              </w:rPr>
              <w:instrText xml:space="preserve"> PAGEREF _Toc17268973 \h </w:instrText>
            </w:r>
            <w:r w:rsidR="00F84B86">
              <w:rPr>
                <w:noProof/>
                <w:webHidden/>
              </w:rPr>
            </w:r>
            <w:r w:rsidR="00F84B86">
              <w:rPr>
                <w:noProof/>
                <w:webHidden/>
              </w:rPr>
              <w:fldChar w:fldCharType="separate"/>
            </w:r>
            <w:r>
              <w:rPr>
                <w:noProof/>
                <w:webHidden/>
              </w:rPr>
              <w:t>23</w:t>
            </w:r>
            <w:r w:rsidR="00F84B86">
              <w:rPr>
                <w:noProof/>
                <w:webHidden/>
              </w:rPr>
              <w:fldChar w:fldCharType="end"/>
            </w:r>
          </w:hyperlink>
        </w:p>
        <w:p w14:paraId="4764CD55" w14:textId="7AF256B8" w:rsidR="00F84B86" w:rsidRDefault="00767843">
          <w:pPr>
            <w:pStyle w:val="TOC4"/>
            <w:tabs>
              <w:tab w:val="left" w:pos="1320"/>
              <w:tab w:val="right" w:leader="dot" w:pos="9350"/>
            </w:tabs>
            <w:rPr>
              <w:rFonts w:asciiTheme="minorHAnsi" w:eastAsiaTheme="minorEastAsia" w:hAnsiTheme="minorHAnsi"/>
              <w:noProof/>
            </w:rPr>
          </w:pPr>
          <w:hyperlink w:anchor="_Toc17268974" w:history="1">
            <w:r w:rsidR="00F84B86" w:rsidRPr="003522CD">
              <w:rPr>
                <w:rStyle w:val="Hyperlink"/>
                <w:noProof/>
                <w:lang w:val="en"/>
              </w:rPr>
              <w:t>iii.</w:t>
            </w:r>
            <w:r w:rsidR="00F84B86">
              <w:rPr>
                <w:rFonts w:asciiTheme="minorHAnsi" w:eastAsiaTheme="minorEastAsia" w:hAnsiTheme="minorHAnsi"/>
                <w:noProof/>
              </w:rPr>
              <w:tab/>
            </w:r>
            <w:r w:rsidR="00F84B86" w:rsidRPr="003522CD">
              <w:rPr>
                <w:rStyle w:val="Hyperlink"/>
                <w:noProof/>
                <w:lang w:val="en"/>
              </w:rPr>
              <w:t>Meteorological Data</w:t>
            </w:r>
            <w:r w:rsidR="00F84B86">
              <w:rPr>
                <w:noProof/>
                <w:webHidden/>
              </w:rPr>
              <w:tab/>
            </w:r>
            <w:r w:rsidR="00F84B86">
              <w:rPr>
                <w:noProof/>
                <w:webHidden/>
              </w:rPr>
              <w:fldChar w:fldCharType="begin"/>
            </w:r>
            <w:r w:rsidR="00F84B86">
              <w:rPr>
                <w:noProof/>
                <w:webHidden/>
              </w:rPr>
              <w:instrText xml:space="preserve"> PAGEREF _Toc17268974 \h </w:instrText>
            </w:r>
            <w:r w:rsidR="00F84B86">
              <w:rPr>
                <w:noProof/>
                <w:webHidden/>
              </w:rPr>
            </w:r>
            <w:r w:rsidR="00F84B86">
              <w:rPr>
                <w:noProof/>
                <w:webHidden/>
              </w:rPr>
              <w:fldChar w:fldCharType="separate"/>
            </w:r>
            <w:r>
              <w:rPr>
                <w:noProof/>
                <w:webHidden/>
              </w:rPr>
              <w:t>24</w:t>
            </w:r>
            <w:r w:rsidR="00F84B86">
              <w:rPr>
                <w:noProof/>
                <w:webHidden/>
              </w:rPr>
              <w:fldChar w:fldCharType="end"/>
            </w:r>
          </w:hyperlink>
        </w:p>
        <w:p w14:paraId="01261305" w14:textId="1A0E2EEF" w:rsidR="00F84B86" w:rsidRDefault="00767843">
          <w:pPr>
            <w:pStyle w:val="TOC4"/>
            <w:tabs>
              <w:tab w:val="left" w:pos="1320"/>
              <w:tab w:val="right" w:leader="dot" w:pos="9350"/>
            </w:tabs>
            <w:rPr>
              <w:rFonts w:asciiTheme="minorHAnsi" w:eastAsiaTheme="minorEastAsia" w:hAnsiTheme="minorHAnsi"/>
              <w:noProof/>
            </w:rPr>
          </w:pPr>
          <w:hyperlink w:anchor="_Toc17268975" w:history="1">
            <w:r w:rsidR="00F84B86" w:rsidRPr="003522CD">
              <w:rPr>
                <w:rStyle w:val="Hyperlink"/>
                <w:noProof/>
                <w:lang w:val="en"/>
              </w:rPr>
              <w:t>iv.</w:t>
            </w:r>
            <w:r w:rsidR="00F84B86">
              <w:rPr>
                <w:rFonts w:asciiTheme="minorHAnsi" w:eastAsiaTheme="minorEastAsia" w:hAnsiTheme="minorHAnsi"/>
                <w:noProof/>
              </w:rPr>
              <w:tab/>
            </w:r>
            <w:r w:rsidR="00F84B86" w:rsidRPr="003522CD">
              <w:rPr>
                <w:rStyle w:val="Hyperlink"/>
                <w:noProof/>
                <w:lang w:val="en"/>
              </w:rPr>
              <w:t>Episode Selection</w:t>
            </w:r>
            <w:r w:rsidR="00F84B86">
              <w:rPr>
                <w:noProof/>
                <w:webHidden/>
              </w:rPr>
              <w:tab/>
            </w:r>
            <w:r w:rsidR="00F84B86">
              <w:rPr>
                <w:noProof/>
                <w:webHidden/>
              </w:rPr>
              <w:fldChar w:fldCharType="begin"/>
            </w:r>
            <w:r w:rsidR="00F84B86">
              <w:rPr>
                <w:noProof/>
                <w:webHidden/>
              </w:rPr>
              <w:instrText xml:space="preserve"> PAGEREF _Toc17268975 \h </w:instrText>
            </w:r>
            <w:r w:rsidR="00F84B86">
              <w:rPr>
                <w:noProof/>
                <w:webHidden/>
              </w:rPr>
            </w:r>
            <w:r w:rsidR="00F84B86">
              <w:rPr>
                <w:noProof/>
                <w:webHidden/>
              </w:rPr>
              <w:fldChar w:fldCharType="separate"/>
            </w:r>
            <w:r>
              <w:rPr>
                <w:noProof/>
                <w:webHidden/>
              </w:rPr>
              <w:t>24</w:t>
            </w:r>
            <w:r w:rsidR="00F84B86">
              <w:rPr>
                <w:noProof/>
                <w:webHidden/>
              </w:rPr>
              <w:fldChar w:fldCharType="end"/>
            </w:r>
          </w:hyperlink>
        </w:p>
        <w:p w14:paraId="2CB451D4" w14:textId="71176EBC" w:rsidR="00F84B86" w:rsidRDefault="00767843">
          <w:pPr>
            <w:pStyle w:val="TOC3"/>
            <w:tabs>
              <w:tab w:val="left" w:pos="880"/>
              <w:tab w:val="right" w:leader="dot" w:pos="9350"/>
            </w:tabs>
            <w:rPr>
              <w:rFonts w:asciiTheme="minorHAnsi" w:eastAsiaTheme="minorEastAsia" w:hAnsiTheme="minorHAnsi"/>
              <w:noProof/>
            </w:rPr>
          </w:pPr>
          <w:hyperlink w:anchor="_Toc17268976" w:history="1">
            <w:r w:rsidR="00F84B86" w:rsidRPr="003522CD">
              <w:rPr>
                <w:rStyle w:val="Hyperlink"/>
                <w:noProof/>
                <w:lang w:val="en"/>
              </w:rPr>
              <w:t>c)</w:t>
            </w:r>
            <w:r w:rsidR="00F84B86">
              <w:rPr>
                <w:rFonts w:asciiTheme="minorHAnsi" w:eastAsiaTheme="minorEastAsia" w:hAnsiTheme="minorHAnsi"/>
                <w:noProof/>
              </w:rPr>
              <w:tab/>
            </w:r>
            <w:r w:rsidR="00F84B86" w:rsidRPr="003522CD">
              <w:rPr>
                <w:rStyle w:val="Hyperlink"/>
                <w:noProof/>
                <w:lang w:val="en"/>
              </w:rPr>
              <w:t>Photochemical Model Performance Evaluation</w:t>
            </w:r>
            <w:r w:rsidR="00F84B86">
              <w:rPr>
                <w:noProof/>
                <w:webHidden/>
              </w:rPr>
              <w:tab/>
            </w:r>
            <w:r w:rsidR="00F84B86">
              <w:rPr>
                <w:noProof/>
                <w:webHidden/>
              </w:rPr>
              <w:fldChar w:fldCharType="begin"/>
            </w:r>
            <w:r w:rsidR="00F84B86">
              <w:rPr>
                <w:noProof/>
                <w:webHidden/>
              </w:rPr>
              <w:instrText xml:space="preserve"> PAGEREF _Toc17268976 \h </w:instrText>
            </w:r>
            <w:r w:rsidR="00F84B86">
              <w:rPr>
                <w:noProof/>
                <w:webHidden/>
              </w:rPr>
            </w:r>
            <w:r w:rsidR="00F84B86">
              <w:rPr>
                <w:noProof/>
                <w:webHidden/>
              </w:rPr>
              <w:fldChar w:fldCharType="separate"/>
            </w:r>
            <w:r>
              <w:rPr>
                <w:noProof/>
                <w:webHidden/>
              </w:rPr>
              <w:t>33</w:t>
            </w:r>
            <w:r w:rsidR="00F84B86">
              <w:rPr>
                <w:noProof/>
                <w:webHidden/>
              </w:rPr>
              <w:fldChar w:fldCharType="end"/>
            </w:r>
          </w:hyperlink>
        </w:p>
        <w:p w14:paraId="1CB3EF89" w14:textId="3B476791" w:rsidR="00F84B86" w:rsidRDefault="00767843">
          <w:pPr>
            <w:pStyle w:val="TOC3"/>
            <w:tabs>
              <w:tab w:val="left" w:pos="880"/>
              <w:tab w:val="right" w:leader="dot" w:pos="9350"/>
            </w:tabs>
            <w:rPr>
              <w:rFonts w:asciiTheme="minorHAnsi" w:eastAsiaTheme="minorEastAsia" w:hAnsiTheme="minorHAnsi"/>
              <w:noProof/>
            </w:rPr>
          </w:pPr>
          <w:hyperlink w:anchor="_Toc17268977" w:history="1">
            <w:r w:rsidR="00F84B86" w:rsidRPr="003522CD">
              <w:rPr>
                <w:rStyle w:val="Hyperlink"/>
                <w:noProof/>
              </w:rPr>
              <w:t>d)</w:t>
            </w:r>
            <w:r w:rsidR="00F84B86">
              <w:rPr>
                <w:rFonts w:asciiTheme="minorHAnsi" w:eastAsiaTheme="minorEastAsia" w:hAnsiTheme="minorHAnsi"/>
                <w:noProof/>
              </w:rPr>
              <w:tab/>
            </w:r>
            <w:r w:rsidR="00F84B86" w:rsidRPr="003522CD">
              <w:rPr>
                <w:rStyle w:val="Hyperlink"/>
                <w:noProof/>
              </w:rPr>
              <w:t>Modeled Attainment Test</w:t>
            </w:r>
            <w:r w:rsidR="00F84B86">
              <w:rPr>
                <w:noProof/>
                <w:webHidden/>
              </w:rPr>
              <w:tab/>
            </w:r>
            <w:r w:rsidR="00F84B86">
              <w:rPr>
                <w:noProof/>
                <w:webHidden/>
              </w:rPr>
              <w:fldChar w:fldCharType="begin"/>
            </w:r>
            <w:r w:rsidR="00F84B86">
              <w:rPr>
                <w:noProof/>
                <w:webHidden/>
              </w:rPr>
              <w:instrText xml:space="preserve"> PAGEREF _Toc17268977 \h </w:instrText>
            </w:r>
            <w:r w:rsidR="00F84B86">
              <w:rPr>
                <w:noProof/>
                <w:webHidden/>
              </w:rPr>
            </w:r>
            <w:r w:rsidR="00F84B86">
              <w:rPr>
                <w:noProof/>
                <w:webHidden/>
              </w:rPr>
              <w:fldChar w:fldCharType="separate"/>
            </w:r>
            <w:r>
              <w:rPr>
                <w:noProof/>
                <w:webHidden/>
              </w:rPr>
              <w:t>37</w:t>
            </w:r>
            <w:r w:rsidR="00F84B86">
              <w:rPr>
                <w:noProof/>
                <w:webHidden/>
              </w:rPr>
              <w:fldChar w:fldCharType="end"/>
            </w:r>
          </w:hyperlink>
        </w:p>
        <w:p w14:paraId="3DF91E9E" w14:textId="31FFF0EE" w:rsidR="00F84B86" w:rsidRDefault="00767843">
          <w:pPr>
            <w:pStyle w:val="TOC2"/>
            <w:rPr>
              <w:rFonts w:asciiTheme="minorHAnsi" w:eastAsiaTheme="minorEastAsia" w:hAnsiTheme="minorHAnsi" w:cstheme="minorBidi"/>
              <w:b w:val="0"/>
              <w:bCs w:val="0"/>
            </w:rPr>
          </w:pPr>
          <w:hyperlink w:anchor="_Toc17268978" w:history="1">
            <w:r w:rsidR="00F84B86" w:rsidRPr="003522CD">
              <w:rPr>
                <w:rStyle w:val="Hyperlink"/>
              </w:rPr>
              <w:t>(2) Attainment Inventory</w:t>
            </w:r>
            <w:r w:rsidR="00F84B86">
              <w:rPr>
                <w:webHidden/>
              </w:rPr>
              <w:tab/>
            </w:r>
            <w:r w:rsidR="00F84B86">
              <w:rPr>
                <w:webHidden/>
              </w:rPr>
              <w:fldChar w:fldCharType="begin"/>
            </w:r>
            <w:r w:rsidR="00F84B86">
              <w:rPr>
                <w:webHidden/>
              </w:rPr>
              <w:instrText xml:space="preserve"> PAGEREF _Toc17268978 \h </w:instrText>
            </w:r>
            <w:r w:rsidR="00F84B86">
              <w:rPr>
                <w:webHidden/>
              </w:rPr>
            </w:r>
            <w:r w:rsidR="00F84B86">
              <w:rPr>
                <w:webHidden/>
              </w:rPr>
              <w:fldChar w:fldCharType="separate"/>
            </w:r>
            <w:r>
              <w:rPr>
                <w:webHidden/>
              </w:rPr>
              <w:t>39</w:t>
            </w:r>
            <w:r w:rsidR="00F84B86">
              <w:rPr>
                <w:webHidden/>
              </w:rPr>
              <w:fldChar w:fldCharType="end"/>
            </w:r>
          </w:hyperlink>
        </w:p>
        <w:p w14:paraId="19186C4E" w14:textId="749C2957" w:rsidR="00F84B86" w:rsidRDefault="00767843">
          <w:pPr>
            <w:pStyle w:val="TOC2"/>
            <w:rPr>
              <w:rFonts w:asciiTheme="minorHAnsi" w:eastAsiaTheme="minorEastAsia" w:hAnsiTheme="minorHAnsi" w:cstheme="minorBidi"/>
              <w:b w:val="0"/>
              <w:bCs w:val="0"/>
            </w:rPr>
          </w:pPr>
          <w:hyperlink w:anchor="_Toc17268979" w:history="1">
            <w:r w:rsidR="00F84B86" w:rsidRPr="003522CD">
              <w:rPr>
                <w:rStyle w:val="Hyperlink"/>
              </w:rPr>
              <w:t>(3) Additional Controls for Future Years</w:t>
            </w:r>
            <w:r w:rsidR="00F84B86">
              <w:rPr>
                <w:webHidden/>
              </w:rPr>
              <w:tab/>
            </w:r>
            <w:r w:rsidR="00F84B86">
              <w:rPr>
                <w:webHidden/>
              </w:rPr>
              <w:fldChar w:fldCharType="begin"/>
            </w:r>
            <w:r w:rsidR="00F84B86">
              <w:rPr>
                <w:webHidden/>
              </w:rPr>
              <w:instrText xml:space="preserve"> PAGEREF _Toc17268979 \h </w:instrText>
            </w:r>
            <w:r w:rsidR="00F84B86">
              <w:rPr>
                <w:webHidden/>
              </w:rPr>
            </w:r>
            <w:r w:rsidR="00F84B86">
              <w:rPr>
                <w:webHidden/>
              </w:rPr>
              <w:fldChar w:fldCharType="separate"/>
            </w:r>
            <w:r>
              <w:rPr>
                <w:webHidden/>
              </w:rPr>
              <w:t>41</w:t>
            </w:r>
            <w:r w:rsidR="00F84B86">
              <w:rPr>
                <w:webHidden/>
              </w:rPr>
              <w:fldChar w:fldCharType="end"/>
            </w:r>
          </w:hyperlink>
        </w:p>
        <w:p w14:paraId="58FFA07C" w14:textId="411A6A0C" w:rsidR="00F84B86" w:rsidRDefault="00767843">
          <w:pPr>
            <w:pStyle w:val="TOC2"/>
            <w:rPr>
              <w:rFonts w:asciiTheme="minorHAnsi" w:eastAsiaTheme="minorEastAsia" w:hAnsiTheme="minorHAnsi" w:cstheme="minorBidi"/>
              <w:b w:val="0"/>
              <w:bCs w:val="0"/>
            </w:rPr>
          </w:pPr>
          <w:hyperlink w:anchor="_Toc17268980" w:history="1">
            <w:r w:rsidR="00F84B86" w:rsidRPr="003522CD">
              <w:rPr>
                <w:rStyle w:val="Hyperlink"/>
              </w:rPr>
              <w:t>(4) Mobile Source Budget for Purposes of Conformity</w:t>
            </w:r>
            <w:r w:rsidR="00F84B86">
              <w:rPr>
                <w:webHidden/>
              </w:rPr>
              <w:tab/>
            </w:r>
            <w:r w:rsidR="00F84B86">
              <w:rPr>
                <w:webHidden/>
              </w:rPr>
              <w:fldChar w:fldCharType="begin"/>
            </w:r>
            <w:r w:rsidR="00F84B86">
              <w:rPr>
                <w:webHidden/>
              </w:rPr>
              <w:instrText xml:space="preserve"> PAGEREF _Toc17268980 \h </w:instrText>
            </w:r>
            <w:r w:rsidR="00F84B86">
              <w:rPr>
                <w:webHidden/>
              </w:rPr>
            </w:r>
            <w:r w:rsidR="00F84B86">
              <w:rPr>
                <w:webHidden/>
              </w:rPr>
              <w:fldChar w:fldCharType="separate"/>
            </w:r>
            <w:r>
              <w:rPr>
                <w:webHidden/>
              </w:rPr>
              <w:t>41</w:t>
            </w:r>
            <w:r w:rsidR="00F84B86">
              <w:rPr>
                <w:webHidden/>
              </w:rPr>
              <w:fldChar w:fldCharType="end"/>
            </w:r>
          </w:hyperlink>
        </w:p>
        <w:p w14:paraId="61BC9F12" w14:textId="4F5AA616" w:rsidR="00F84B86" w:rsidRDefault="00767843">
          <w:pPr>
            <w:pStyle w:val="TOC3"/>
            <w:tabs>
              <w:tab w:val="left" w:pos="880"/>
              <w:tab w:val="right" w:leader="dot" w:pos="9350"/>
            </w:tabs>
            <w:rPr>
              <w:rFonts w:asciiTheme="minorHAnsi" w:eastAsiaTheme="minorEastAsia" w:hAnsiTheme="minorHAnsi"/>
              <w:noProof/>
            </w:rPr>
          </w:pPr>
          <w:hyperlink w:anchor="_Toc17268981" w:history="1">
            <w:r w:rsidR="00F84B86" w:rsidRPr="003522CD">
              <w:rPr>
                <w:rStyle w:val="Hyperlink"/>
                <w:noProof/>
              </w:rPr>
              <w:t>a)</w:t>
            </w:r>
            <w:r w:rsidR="00F84B86">
              <w:rPr>
                <w:rFonts w:asciiTheme="minorHAnsi" w:eastAsiaTheme="minorEastAsia" w:hAnsiTheme="minorHAnsi"/>
                <w:noProof/>
              </w:rPr>
              <w:tab/>
            </w:r>
            <w:r w:rsidR="00F84B86" w:rsidRPr="003522CD">
              <w:rPr>
                <w:rStyle w:val="Hyperlink"/>
                <w:noProof/>
              </w:rPr>
              <w:t>Mobile Source PM</w:t>
            </w:r>
            <w:r w:rsidR="00F84B86" w:rsidRPr="003522CD">
              <w:rPr>
                <w:rStyle w:val="Hyperlink"/>
                <w:noProof/>
                <w:vertAlign w:val="subscript"/>
              </w:rPr>
              <w:t>2.5</w:t>
            </w:r>
            <w:r w:rsidR="00F84B86" w:rsidRPr="003522CD">
              <w:rPr>
                <w:rStyle w:val="Hyperlink"/>
                <w:noProof/>
              </w:rPr>
              <w:t xml:space="preserve"> Emissions Budgets</w:t>
            </w:r>
            <w:r w:rsidR="00F84B86">
              <w:rPr>
                <w:noProof/>
                <w:webHidden/>
              </w:rPr>
              <w:tab/>
            </w:r>
            <w:r w:rsidR="00F84B86">
              <w:rPr>
                <w:noProof/>
                <w:webHidden/>
              </w:rPr>
              <w:fldChar w:fldCharType="begin"/>
            </w:r>
            <w:r w:rsidR="00F84B86">
              <w:rPr>
                <w:noProof/>
                <w:webHidden/>
              </w:rPr>
              <w:instrText xml:space="preserve"> PAGEREF _Toc17268981 \h </w:instrText>
            </w:r>
            <w:r w:rsidR="00F84B86">
              <w:rPr>
                <w:noProof/>
                <w:webHidden/>
              </w:rPr>
            </w:r>
            <w:r w:rsidR="00F84B86">
              <w:rPr>
                <w:noProof/>
                <w:webHidden/>
              </w:rPr>
              <w:fldChar w:fldCharType="separate"/>
            </w:r>
            <w:r>
              <w:rPr>
                <w:noProof/>
                <w:webHidden/>
              </w:rPr>
              <w:t>41</w:t>
            </w:r>
            <w:r w:rsidR="00F84B86">
              <w:rPr>
                <w:noProof/>
                <w:webHidden/>
              </w:rPr>
              <w:fldChar w:fldCharType="end"/>
            </w:r>
          </w:hyperlink>
        </w:p>
        <w:p w14:paraId="1C2F5034" w14:textId="6D5EC03A" w:rsidR="00F84B86" w:rsidRDefault="00767843">
          <w:pPr>
            <w:pStyle w:val="TOC4"/>
            <w:tabs>
              <w:tab w:val="right" w:leader="dot" w:pos="9350"/>
            </w:tabs>
            <w:rPr>
              <w:rFonts w:asciiTheme="minorHAnsi" w:eastAsiaTheme="minorEastAsia" w:hAnsiTheme="minorHAnsi"/>
              <w:noProof/>
            </w:rPr>
          </w:pPr>
          <w:hyperlink w:anchor="_Toc17268982" w:history="1">
            <w:r w:rsidR="00F84B86" w:rsidRPr="003522CD">
              <w:rPr>
                <w:rStyle w:val="Hyperlink"/>
                <w:noProof/>
              </w:rPr>
              <w:t>(i) Direct PM</w:t>
            </w:r>
            <w:r w:rsidR="00F84B86" w:rsidRPr="003522CD">
              <w:rPr>
                <w:rStyle w:val="Hyperlink"/>
                <w:noProof/>
                <w:vertAlign w:val="subscript"/>
              </w:rPr>
              <w:t>2.5</w:t>
            </w:r>
            <w:r w:rsidR="00F84B86" w:rsidRPr="003522CD">
              <w:rPr>
                <w:rStyle w:val="Hyperlink"/>
                <w:noProof/>
              </w:rPr>
              <w:t>, NO</w:t>
            </w:r>
            <w:r w:rsidR="00F84B86" w:rsidRPr="003522CD">
              <w:rPr>
                <w:rStyle w:val="Hyperlink"/>
                <w:noProof/>
                <w:vertAlign w:val="subscript"/>
              </w:rPr>
              <w:t>x</w:t>
            </w:r>
            <w:r w:rsidR="00F84B86" w:rsidRPr="003522CD">
              <w:rPr>
                <w:rStyle w:val="Hyperlink"/>
                <w:noProof/>
              </w:rPr>
              <w:t>, and VOC</w:t>
            </w:r>
            <w:r w:rsidR="00F84B86">
              <w:rPr>
                <w:noProof/>
                <w:webHidden/>
              </w:rPr>
              <w:tab/>
            </w:r>
            <w:r w:rsidR="00F84B86">
              <w:rPr>
                <w:noProof/>
                <w:webHidden/>
              </w:rPr>
              <w:fldChar w:fldCharType="begin"/>
            </w:r>
            <w:r w:rsidR="00F84B86">
              <w:rPr>
                <w:noProof/>
                <w:webHidden/>
              </w:rPr>
              <w:instrText xml:space="preserve"> PAGEREF _Toc17268982 \h </w:instrText>
            </w:r>
            <w:r w:rsidR="00F84B86">
              <w:rPr>
                <w:noProof/>
                <w:webHidden/>
              </w:rPr>
            </w:r>
            <w:r w:rsidR="00F84B86">
              <w:rPr>
                <w:noProof/>
                <w:webHidden/>
              </w:rPr>
              <w:fldChar w:fldCharType="separate"/>
            </w:r>
            <w:r>
              <w:rPr>
                <w:noProof/>
                <w:webHidden/>
              </w:rPr>
              <w:t>42</w:t>
            </w:r>
            <w:r w:rsidR="00F84B86">
              <w:rPr>
                <w:noProof/>
                <w:webHidden/>
              </w:rPr>
              <w:fldChar w:fldCharType="end"/>
            </w:r>
          </w:hyperlink>
        </w:p>
        <w:p w14:paraId="5E24AC7C" w14:textId="38F9AF14" w:rsidR="00F84B86" w:rsidRDefault="00767843">
          <w:pPr>
            <w:pStyle w:val="TOC4"/>
            <w:tabs>
              <w:tab w:val="right" w:leader="dot" w:pos="9350"/>
            </w:tabs>
            <w:rPr>
              <w:rFonts w:asciiTheme="minorHAnsi" w:eastAsiaTheme="minorEastAsia" w:hAnsiTheme="minorHAnsi"/>
              <w:noProof/>
            </w:rPr>
          </w:pPr>
          <w:hyperlink w:anchor="_Toc17268983" w:history="1">
            <w:r w:rsidR="00F84B86" w:rsidRPr="003522CD">
              <w:rPr>
                <w:rStyle w:val="Hyperlink"/>
                <w:noProof/>
              </w:rPr>
              <w:t>(ii) Trading Ratios for Transportation Conformity</w:t>
            </w:r>
            <w:r w:rsidR="00F84B86">
              <w:rPr>
                <w:noProof/>
                <w:webHidden/>
              </w:rPr>
              <w:tab/>
            </w:r>
            <w:r w:rsidR="00F84B86">
              <w:rPr>
                <w:noProof/>
                <w:webHidden/>
              </w:rPr>
              <w:fldChar w:fldCharType="begin"/>
            </w:r>
            <w:r w:rsidR="00F84B86">
              <w:rPr>
                <w:noProof/>
                <w:webHidden/>
              </w:rPr>
              <w:instrText xml:space="preserve"> PAGEREF _Toc17268983 \h </w:instrText>
            </w:r>
            <w:r w:rsidR="00F84B86">
              <w:rPr>
                <w:noProof/>
                <w:webHidden/>
              </w:rPr>
            </w:r>
            <w:r w:rsidR="00F84B86">
              <w:rPr>
                <w:noProof/>
                <w:webHidden/>
              </w:rPr>
              <w:fldChar w:fldCharType="separate"/>
            </w:r>
            <w:r>
              <w:rPr>
                <w:noProof/>
                <w:webHidden/>
              </w:rPr>
              <w:t>44</w:t>
            </w:r>
            <w:r w:rsidR="00F84B86">
              <w:rPr>
                <w:noProof/>
                <w:webHidden/>
              </w:rPr>
              <w:fldChar w:fldCharType="end"/>
            </w:r>
          </w:hyperlink>
        </w:p>
        <w:p w14:paraId="3FFA09D5" w14:textId="6ACAD60F" w:rsidR="00F84B86" w:rsidRDefault="00767843">
          <w:pPr>
            <w:pStyle w:val="TOC2"/>
            <w:rPr>
              <w:rFonts w:asciiTheme="minorHAnsi" w:eastAsiaTheme="minorEastAsia" w:hAnsiTheme="minorHAnsi" w:cstheme="minorBidi"/>
              <w:b w:val="0"/>
              <w:bCs w:val="0"/>
            </w:rPr>
          </w:pPr>
          <w:hyperlink w:anchor="_Toc17268984" w:history="1">
            <w:r w:rsidR="00F84B86" w:rsidRPr="003522CD">
              <w:rPr>
                <w:rStyle w:val="Hyperlink"/>
              </w:rPr>
              <w:t>(5) Nonattainment Requirements Applicable Pending Plan Approval</w:t>
            </w:r>
            <w:r w:rsidR="00F84B86">
              <w:rPr>
                <w:webHidden/>
              </w:rPr>
              <w:tab/>
            </w:r>
            <w:r w:rsidR="00F84B86">
              <w:rPr>
                <w:webHidden/>
              </w:rPr>
              <w:fldChar w:fldCharType="begin"/>
            </w:r>
            <w:r w:rsidR="00F84B86">
              <w:rPr>
                <w:webHidden/>
              </w:rPr>
              <w:instrText xml:space="preserve"> PAGEREF _Toc17268984 \h </w:instrText>
            </w:r>
            <w:r w:rsidR="00F84B86">
              <w:rPr>
                <w:webHidden/>
              </w:rPr>
            </w:r>
            <w:r w:rsidR="00F84B86">
              <w:rPr>
                <w:webHidden/>
              </w:rPr>
              <w:fldChar w:fldCharType="separate"/>
            </w:r>
            <w:r>
              <w:rPr>
                <w:webHidden/>
              </w:rPr>
              <w:t>44</w:t>
            </w:r>
            <w:r w:rsidR="00F84B86">
              <w:rPr>
                <w:webHidden/>
              </w:rPr>
              <w:fldChar w:fldCharType="end"/>
            </w:r>
          </w:hyperlink>
        </w:p>
        <w:p w14:paraId="765802B9" w14:textId="74BA3350" w:rsidR="00F84B86" w:rsidRDefault="00767843">
          <w:pPr>
            <w:pStyle w:val="TOC2"/>
            <w:rPr>
              <w:rFonts w:asciiTheme="minorHAnsi" w:eastAsiaTheme="minorEastAsia" w:hAnsiTheme="minorHAnsi" w:cstheme="minorBidi"/>
              <w:b w:val="0"/>
              <w:bCs w:val="0"/>
            </w:rPr>
          </w:pPr>
          <w:hyperlink w:anchor="_Toc17268985" w:history="1">
            <w:r w:rsidR="00F84B86" w:rsidRPr="003522CD">
              <w:rPr>
                <w:rStyle w:val="Hyperlink"/>
              </w:rPr>
              <w:t>(6) Revise in Eight Years</w:t>
            </w:r>
            <w:r w:rsidR="00F84B86">
              <w:rPr>
                <w:webHidden/>
              </w:rPr>
              <w:tab/>
            </w:r>
            <w:r w:rsidR="00F84B86">
              <w:rPr>
                <w:webHidden/>
              </w:rPr>
              <w:fldChar w:fldCharType="begin"/>
            </w:r>
            <w:r w:rsidR="00F84B86">
              <w:rPr>
                <w:webHidden/>
              </w:rPr>
              <w:instrText xml:space="preserve"> PAGEREF _Toc17268985 \h </w:instrText>
            </w:r>
            <w:r w:rsidR="00F84B86">
              <w:rPr>
                <w:webHidden/>
              </w:rPr>
            </w:r>
            <w:r w:rsidR="00F84B86">
              <w:rPr>
                <w:webHidden/>
              </w:rPr>
              <w:fldChar w:fldCharType="separate"/>
            </w:r>
            <w:r>
              <w:rPr>
                <w:webHidden/>
              </w:rPr>
              <w:t>44</w:t>
            </w:r>
            <w:r w:rsidR="00F84B86">
              <w:rPr>
                <w:webHidden/>
              </w:rPr>
              <w:fldChar w:fldCharType="end"/>
            </w:r>
          </w:hyperlink>
        </w:p>
        <w:p w14:paraId="296D64F3" w14:textId="531C32C1" w:rsidR="00F84B86" w:rsidRDefault="00767843">
          <w:pPr>
            <w:pStyle w:val="TOC2"/>
            <w:rPr>
              <w:rFonts w:asciiTheme="minorHAnsi" w:eastAsiaTheme="minorEastAsia" w:hAnsiTheme="minorHAnsi" w:cstheme="minorBidi"/>
              <w:b w:val="0"/>
              <w:bCs w:val="0"/>
            </w:rPr>
          </w:pPr>
          <w:hyperlink w:anchor="_Toc17268986" w:history="1">
            <w:r w:rsidR="00F84B86" w:rsidRPr="003522CD">
              <w:rPr>
                <w:rStyle w:val="Hyperlink"/>
              </w:rPr>
              <w:t>(7) Verification of Continued Maintenance and Monitoring</w:t>
            </w:r>
            <w:r w:rsidR="00F84B86">
              <w:rPr>
                <w:webHidden/>
              </w:rPr>
              <w:tab/>
            </w:r>
            <w:r w:rsidR="00F84B86">
              <w:rPr>
                <w:webHidden/>
              </w:rPr>
              <w:fldChar w:fldCharType="begin"/>
            </w:r>
            <w:r w:rsidR="00F84B86">
              <w:rPr>
                <w:webHidden/>
              </w:rPr>
              <w:instrText xml:space="preserve"> PAGEREF _Toc17268986 \h </w:instrText>
            </w:r>
            <w:r w:rsidR="00F84B86">
              <w:rPr>
                <w:webHidden/>
              </w:rPr>
            </w:r>
            <w:r w:rsidR="00F84B86">
              <w:rPr>
                <w:webHidden/>
              </w:rPr>
              <w:fldChar w:fldCharType="separate"/>
            </w:r>
            <w:r>
              <w:rPr>
                <w:webHidden/>
              </w:rPr>
              <w:t>44</w:t>
            </w:r>
            <w:r w:rsidR="00F84B86">
              <w:rPr>
                <w:webHidden/>
              </w:rPr>
              <w:fldChar w:fldCharType="end"/>
            </w:r>
          </w:hyperlink>
        </w:p>
        <w:p w14:paraId="64C68DED" w14:textId="0E9A7EF1" w:rsidR="00F84B86" w:rsidRDefault="00767843">
          <w:pPr>
            <w:pStyle w:val="TOC2"/>
            <w:rPr>
              <w:rFonts w:asciiTheme="minorHAnsi" w:eastAsiaTheme="minorEastAsia" w:hAnsiTheme="minorHAnsi" w:cstheme="minorBidi"/>
              <w:b w:val="0"/>
              <w:bCs w:val="0"/>
            </w:rPr>
          </w:pPr>
          <w:hyperlink w:anchor="_Toc17268987" w:history="1">
            <w:r w:rsidR="00F84B86" w:rsidRPr="003522CD">
              <w:rPr>
                <w:rStyle w:val="Hyperlink"/>
              </w:rPr>
              <w:t>(8) Contingency Plan</w:t>
            </w:r>
            <w:r w:rsidR="00F84B86">
              <w:rPr>
                <w:webHidden/>
              </w:rPr>
              <w:tab/>
            </w:r>
            <w:r w:rsidR="00F84B86">
              <w:rPr>
                <w:webHidden/>
              </w:rPr>
              <w:fldChar w:fldCharType="begin"/>
            </w:r>
            <w:r w:rsidR="00F84B86">
              <w:rPr>
                <w:webHidden/>
              </w:rPr>
              <w:instrText xml:space="preserve"> PAGEREF _Toc17268987 \h </w:instrText>
            </w:r>
            <w:r w:rsidR="00F84B86">
              <w:rPr>
                <w:webHidden/>
              </w:rPr>
            </w:r>
            <w:r w:rsidR="00F84B86">
              <w:rPr>
                <w:webHidden/>
              </w:rPr>
              <w:fldChar w:fldCharType="separate"/>
            </w:r>
            <w:r>
              <w:rPr>
                <w:webHidden/>
              </w:rPr>
              <w:t>45</w:t>
            </w:r>
            <w:r w:rsidR="00F84B86">
              <w:rPr>
                <w:webHidden/>
              </w:rPr>
              <w:fldChar w:fldCharType="end"/>
            </w:r>
          </w:hyperlink>
        </w:p>
        <w:p w14:paraId="303F9A29" w14:textId="45789E51" w:rsidR="00F84B86" w:rsidRDefault="00767843">
          <w:pPr>
            <w:pStyle w:val="TOC3"/>
            <w:tabs>
              <w:tab w:val="left" w:pos="880"/>
              <w:tab w:val="right" w:leader="dot" w:pos="9350"/>
            </w:tabs>
            <w:rPr>
              <w:rFonts w:asciiTheme="minorHAnsi" w:eastAsiaTheme="minorEastAsia" w:hAnsiTheme="minorHAnsi"/>
              <w:noProof/>
            </w:rPr>
          </w:pPr>
          <w:hyperlink w:anchor="_Toc17268988" w:history="1">
            <w:r w:rsidR="00F84B86" w:rsidRPr="003522CD">
              <w:rPr>
                <w:rStyle w:val="Hyperlink"/>
                <w:noProof/>
              </w:rPr>
              <w:t>a)</w:t>
            </w:r>
            <w:r w:rsidR="00F84B86">
              <w:rPr>
                <w:rFonts w:asciiTheme="minorHAnsi" w:eastAsiaTheme="minorEastAsia" w:hAnsiTheme="minorHAnsi"/>
                <w:noProof/>
              </w:rPr>
              <w:tab/>
            </w:r>
            <w:r w:rsidR="00F84B86" w:rsidRPr="003522CD">
              <w:rPr>
                <w:rStyle w:val="Hyperlink"/>
                <w:noProof/>
              </w:rPr>
              <w:t>List of Potential Contingency Measures</w:t>
            </w:r>
            <w:r w:rsidR="00F84B86">
              <w:rPr>
                <w:noProof/>
                <w:webHidden/>
              </w:rPr>
              <w:tab/>
            </w:r>
            <w:r w:rsidR="00F84B86">
              <w:rPr>
                <w:noProof/>
                <w:webHidden/>
              </w:rPr>
              <w:fldChar w:fldCharType="begin"/>
            </w:r>
            <w:r w:rsidR="00F84B86">
              <w:rPr>
                <w:noProof/>
                <w:webHidden/>
              </w:rPr>
              <w:instrText xml:space="preserve"> PAGEREF _Toc17268988 \h </w:instrText>
            </w:r>
            <w:r w:rsidR="00F84B86">
              <w:rPr>
                <w:noProof/>
                <w:webHidden/>
              </w:rPr>
            </w:r>
            <w:r w:rsidR="00F84B86">
              <w:rPr>
                <w:noProof/>
                <w:webHidden/>
              </w:rPr>
              <w:fldChar w:fldCharType="separate"/>
            </w:r>
            <w:r>
              <w:rPr>
                <w:noProof/>
                <w:webHidden/>
              </w:rPr>
              <w:t>45</w:t>
            </w:r>
            <w:r w:rsidR="00F84B86">
              <w:rPr>
                <w:noProof/>
                <w:webHidden/>
              </w:rPr>
              <w:fldChar w:fldCharType="end"/>
            </w:r>
          </w:hyperlink>
        </w:p>
        <w:p w14:paraId="1309E14D" w14:textId="2107D0EA" w:rsidR="00F84B86" w:rsidRDefault="00767843">
          <w:pPr>
            <w:pStyle w:val="TOC3"/>
            <w:tabs>
              <w:tab w:val="left" w:pos="880"/>
              <w:tab w:val="right" w:leader="dot" w:pos="9350"/>
            </w:tabs>
            <w:rPr>
              <w:rFonts w:asciiTheme="minorHAnsi" w:eastAsiaTheme="minorEastAsia" w:hAnsiTheme="minorHAnsi"/>
              <w:noProof/>
            </w:rPr>
          </w:pPr>
          <w:hyperlink w:anchor="_Toc17268989" w:history="1">
            <w:r w:rsidR="00F84B86" w:rsidRPr="003522CD">
              <w:rPr>
                <w:rStyle w:val="Hyperlink"/>
                <w:noProof/>
              </w:rPr>
              <w:t>b)</w:t>
            </w:r>
            <w:r w:rsidR="00F84B86">
              <w:rPr>
                <w:rFonts w:asciiTheme="minorHAnsi" w:eastAsiaTheme="minorEastAsia" w:hAnsiTheme="minorHAnsi"/>
                <w:noProof/>
              </w:rPr>
              <w:tab/>
            </w:r>
            <w:r w:rsidR="00F84B86" w:rsidRPr="003522CD">
              <w:rPr>
                <w:rStyle w:val="Hyperlink"/>
                <w:noProof/>
              </w:rPr>
              <w:t>Tracking</w:t>
            </w:r>
            <w:r w:rsidR="00F84B86">
              <w:rPr>
                <w:noProof/>
                <w:webHidden/>
              </w:rPr>
              <w:tab/>
            </w:r>
            <w:r w:rsidR="00F84B86">
              <w:rPr>
                <w:noProof/>
                <w:webHidden/>
              </w:rPr>
              <w:fldChar w:fldCharType="begin"/>
            </w:r>
            <w:r w:rsidR="00F84B86">
              <w:rPr>
                <w:noProof/>
                <w:webHidden/>
              </w:rPr>
              <w:instrText xml:space="preserve"> PAGEREF _Toc17268989 \h </w:instrText>
            </w:r>
            <w:r w:rsidR="00F84B86">
              <w:rPr>
                <w:noProof/>
                <w:webHidden/>
              </w:rPr>
            </w:r>
            <w:r w:rsidR="00F84B86">
              <w:rPr>
                <w:noProof/>
                <w:webHidden/>
              </w:rPr>
              <w:fldChar w:fldCharType="separate"/>
            </w:r>
            <w:r>
              <w:rPr>
                <w:noProof/>
                <w:webHidden/>
              </w:rPr>
              <w:t>46</w:t>
            </w:r>
            <w:r w:rsidR="00F84B86">
              <w:rPr>
                <w:noProof/>
                <w:webHidden/>
              </w:rPr>
              <w:fldChar w:fldCharType="end"/>
            </w:r>
          </w:hyperlink>
        </w:p>
        <w:p w14:paraId="7D15089B" w14:textId="795D4706" w:rsidR="00F84B86" w:rsidRDefault="00767843">
          <w:pPr>
            <w:pStyle w:val="TOC3"/>
            <w:tabs>
              <w:tab w:val="left" w:pos="880"/>
              <w:tab w:val="right" w:leader="dot" w:pos="9350"/>
            </w:tabs>
            <w:rPr>
              <w:rFonts w:asciiTheme="minorHAnsi" w:eastAsiaTheme="minorEastAsia" w:hAnsiTheme="minorHAnsi"/>
              <w:noProof/>
            </w:rPr>
          </w:pPr>
          <w:hyperlink w:anchor="_Toc17268990" w:history="1">
            <w:r w:rsidR="00F84B86" w:rsidRPr="003522CD">
              <w:rPr>
                <w:rStyle w:val="Hyperlink"/>
                <w:noProof/>
              </w:rPr>
              <w:t>c)</w:t>
            </w:r>
            <w:r w:rsidR="00F84B86">
              <w:rPr>
                <w:rFonts w:asciiTheme="minorHAnsi" w:eastAsiaTheme="minorEastAsia" w:hAnsiTheme="minorHAnsi"/>
                <w:noProof/>
              </w:rPr>
              <w:tab/>
            </w:r>
            <w:r w:rsidR="00F84B86" w:rsidRPr="003522CD">
              <w:rPr>
                <w:rStyle w:val="Hyperlink"/>
                <w:noProof/>
              </w:rPr>
              <w:t>Triggering</w:t>
            </w:r>
            <w:r w:rsidR="00F84B86">
              <w:rPr>
                <w:noProof/>
                <w:webHidden/>
              </w:rPr>
              <w:tab/>
            </w:r>
            <w:r w:rsidR="00F84B86">
              <w:rPr>
                <w:noProof/>
                <w:webHidden/>
              </w:rPr>
              <w:fldChar w:fldCharType="begin"/>
            </w:r>
            <w:r w:rsidR="00F84B86">
              <w:rPr>
                <w:noProof/>
                <w:webHidden/>
              </w:rPr>
              <w:instrText xml:space="preserve"> PAGEREF _Toc17268990 \h </w:instrText>
            </w:r>
            <w:r w:rsidR="00F84B86">
              <w:rPr>
                <w:noProof/>
                <w:webHidden/>
              </w:rPr>
            </w:r>
            <w:r w:rsidR="00F84B86">
              <w:rPr>
                <w:noProof/>
                <w:webHidden/>
              </w:rPr>
              <w:fldChar w:fldCharType="separate"/>
            </w:r>
            <w:r>
              <w:rPr>
                <w:noProof/>
                <w:webHidden/>
              </w:rPr>
              <w:t>46</w:t>
            </w:r>
            <w:r w:rsidR="00F84B86">
              <w:rPr>
                <w:noProof/>
                <w:webHidden/>
              </w:rPr>
              <w:fldChar w:fldCharType="end"/>
            </w:r>
          </w:hyperlink>
        </w:p>
        <w:p w14:paraId="6AEEC6E7" w14:textId="4EF45B9D" w:rsidR="00A0535E" w:rsidRDefault="004B312A">
          <w:r>
            <w:fldChar w:fldCharType="end"/>
          </w:r>
        </w:p>
      </w:sdtContent>
    </w:sdt>
    <w:p w14:paraId="7DC30C39" w14:textId="62F6B40B" w:rsidR="00A81577" w:rsidRDefault="00A81577" w:rsidP="00A81577">
      <w:bookmarkStart w:id="0" w:name="_Hlk16171626"/>
      <w:r>
        <w:rPr>
          <w:rFonts w:ascii="Arial" w:hAnsi="Arial" w:cs="Arial"/>
          <w:b/>
          <w:sz w:val="28"/>
          <w:szCs w:val="28"/>
        </w:rPr>
        <w:t>List</w:t>
      </w:r>
      <w:r w:rsidRPr="00A81577">
        <w:rPr>
          <w:rFonts w:ascii="Arial" w:hAnsi="Arial" w:cs="Arial"/>
          <w:b/>
          <w:sz w:val="28"/>
          <w:szCs w:val="28"/>
        </w:rPr>
        <w:t xml:space="preserve"> of </w:t>
      </w:r>
      <w:r>
        <w:rPr>
          <w:rFonts w:ascii="Arial" w:hAnsi="Arial" w:cs="Arial"/>
          <w:b/>
          <w:sz w:val="28"/>
          <w:szCs w:val="28"/>
        </w:rPr>
        <w:t>Tables</w:t>
      </w:r>
    </w:p>
    <w:bookmarkEnd w:id="0"/>
    <w:p w14:paraId="2755A985" w14:textId="0D6EA5BA" w:rsidR="00F84B86" w:rsidRDefault="00CE7395">
      <w:pPr>
        <w:pStyle w:val="TableofFigures"/>
        <w:tabs>
          <w:tab w:val="right" w:leader="dot" w:pos="9350"/>
        </w:tabs>
        <w:rPr>
          <w:rFonts w:asciiTheme="minorHAnsi" w:eastAsiaTheme="minorEastAsia" w:hAnsiTheme="minorHAnsi"/>
          <w:noProof/>
        </w:rPr>
      </w:pPr>
      <w:r>
        <w:fldChar w:fldCharType="begin"/>
      </w:r>
      <w:r>
        <w:instrText xml:space="preserve"> TOC \h \z \c "Table IX.A.36." </w:instrText>
      </w:r>
      <w:r>
        <w:fldChar w:fldCharType="separate"/>
      </w:r>
      <w:hyperlink w:anchor="_Toc17268991" w:history="1">
        <w:r w:rsidR="00F84B86" w:rsidRPr="00C07D34">
          <w:rPr>
            <w:rStyle w:val="Hyperlink"/>
            <w:noProof/>
          </w:rPr>
          <w:t>Table IX.A.36. 1 Prerequisites to Redesignation in the Federal Clean Air Act</w:t>
        </w:r>
        <w:r w:rsidR="00F84B86">
          <w:rPr>
            <w:noProof/>
            <w:webHidden/>
          </w:rPr>
          <w:tab/>
        </w:r>
        <w:r w:rsidR="00F84B86">
          <w:rPr>
            <w:noProof/>
            <w:webHidden/>
          </w:rPr>
          <w:fldChar w:fldCharType="begin"/>
        </w:r>
        <w:r w:rsidR="00F84B86">
          <w:rPr>
            <w:noProof/>
            <w:webHidden/>
          </w:rPr>
          <w:instrText xml:space="preserve"> PAGEREF _Toc17268991 \h </w:instrText>
        </w:r>
        <w:r w:rsidR="00F84B86">
          <w:rPr>
            <w:noProof/>
            <w:webHidden/>
          </w:rPr>
        </w:r>
        <w:r w:rsidR="00F84B86">
          <w:rPr>
            <w:noProof/>
            <w:webHidden/>
          </w:rPr>
          <w:fldChar w:fldCharType="separate"/>
        </w:r>
        <w:r w:rsidR="00767843">
          <w:rPr>
            <w:noProof/>
            <w:webHidden/>
          </w:rPr>
          <w:t>3</w:t>
        </w:r>
        <w:r w:rsidR="00F84B86">
          <w:rPr>
            <w:noProof/>
            <w:webHidden/>
          </w:rPr>
          <w:fldChar w:fldCharType="end"/>
        </w:r>
      </w:hyperlink>
    </w:p>
    <w:p w14:paraId="1C551D20" w14:textId="56206897" w:rsidR="00F84B86" w:rsidRDefault="00767843">
      <w:pPr>
        <w:pStyle w:val="TableofFigures"/>
        <w:tabs>
          <w:tab w:val="right" w:leader="dot" w:pos="9350"/>
        </w:tabs>
        <w:rPr>
          <w:rFonts w:asciiTheme="minorHAnsi" w:eastAsiaTheme="minorEastAsia" w:hAnsiTheme="minorHAnsi"/>
          <w:noProof/>
        </w:rPr>
      </w:pPr>
      <w:hyperlink w:anchor="_Toc17268992" w:history="1">
        <w:r w:rsidR="00F84B86" w:rsidRPr="00C07D34">
          <w:rPr>
            <w:rStyle w:val="Hyperlink"/>
            <w:noProof/>
          </w:rPr>
          <w:t>Table IX.A.36. 2 Monitored Ambient 24-hr PM</w:t>
        </w:r>
        <w:r w:rsidR="00F84B86" w:rsidRPr="00C07D34">
          <w:rPr>
            <w:rStyle w:val="Hyperlink"/>
            <w:noProof/>
            <w:vertAlign w:val="subscript"/>
          </w:rPr>
          <w:t>2.5</w:t>
        </w:r>
        <w:r w:rsidR="00F84B86" w:rsidRPr="00C07D34">
          <w:rPr>
            <w:rStyle w:val="Hyperlink"/>
            <w:noProof/>
          </w:rPr>
          <w:t xml:space="preserve"> Data</w:t>
        </w:r>
        <w:r w:rsidR="00F84B86">
          <w:rPr>
            <w:noProof/>
            <w:webHidden/>
          </w:rPr>
          <w:tab/>
        </w:r>
        <w:r w:rsidR="00F84B86">
          <w:rPr>
            <w:noProof/>
            <w:webHidden/>
          </w:rPr>
          <w:fldChar w:fldCharType="begin"/>
        </w:r>
        <w:r w:rsidR="00F84B86">
          <w:rPr>
            <w:noProof/>
            <w:webHidden/>
          </w:rPr>
          <w:instrText xml:space="preserve"> PAGEREF _Toc17268992 \h </w:instrText>
        </w:r>
        <w:r w:rsidR="00F84B86">
          <w:rPr>
            <w:noProof/>
            <w:webHidden/>
          </w:rPr>
        </w:r>
        <w:r w:rsidR="00F84B86">
          <w:rPr>
            <w:noProof/>
            <w:webHidden/>
          </w:rPr>
          <w:fldChar w:fldCharType="separate"/>
        </w:r>
        <w:r>
          <w:rPr>
            <w:noProof/>
            <w:webHidden/>
          </w:rPr>
          <w:t>6</w:t>
        </w:r>
        <w:r w:rsidR="00F84B86">
          <w:rPr>
            <w:noProof/>
            <w:webHidden/>
          </w:rPr>
          <w:fldChar w:fldCharType="end"/>
        </w:r>
      </w:hyperlink>
    </w:p>
    <w:p w14:paraId="084B04E2" w14:textId="60380EA3" w:rsidR="00F84B86" w:rsidRDefault="00767843">
      <w:pPr>
        <w:pStyle w:val="TableofFigures"/>
        <w:tabs>
          <w:tab w:val="right" w:leader="dot" w:pos="9350"/>
        </w:tabs>
        <w:rPr>
          <w:rFonts w:asciiTheme="minorHAnsi" w:eastAsiaTheme="minorEastAsia" w:hAnsiTheme="minorHAnsi"/>
          <w:noProof/>
        </w:rPr>
      </w:pPr>
      <w:hyperlink w:anchor="_Toc17268993" w:history="1">
        <w:r w:rsidR="00F84B86" w:rsidRPr="00C07D34">
          <w:rPr>
            <w:rStyle w:val="Hyperlink"/>
            <w:noProof/>
          </w:rPr>
          <w:t>Table IX.A.36. 3 SLC, UT Serious SIP Approval Status</w:t>
        </w:r>
        <w:r w:rsidR="00F84B86">
          <w:rPr>
            <w:noProof/>
            <w:webHidden/>
          </w:rPr>
          <w:tab/>
        </w:r>
        <w:r w:rsidR="00F84B86">
          <w:rPr>
            <w:noProof/>
            <w:webHidden/>
          </w:rPr>
          <w:fldChar w:fldCharType="begin"/>
        </w:r>
        <w:r w:rsidR="00F84B86">
          <w:rPr>
            <w:noProof/>
            <w:webHidden/>
          </w:rPr>
          <w:instrText xml:space="preserve"> PAGEREF _Toc17268993 \h </w:instrText>
        </w:r>
        <w:r w:rsidR="00F84B86">
          <w:rPr>
            <w:noProof/>
            <w:webHidden/>
          </w:rPr>
        </w:r>
        <w:r w:rsidR="00F84B86">
          <w:rPr>
            <w:noProof/>
            <w:webHidden/>
          </w:rPr>
          <w:fldChar w:fldCharType="separate"/>
        </w:r>
        <w:r>
          <w:rPr>
            <w:noProof/>
            <w:webHidden/>
          </w:rPr>
          <w:t>8</w:t>
        </w:r>
        <w:r w:rsidR="00F84B86">
          <w:rPr>
            <w:noProof/>
            <w:webHidden/>
          </w:rPr>
          <w:fldChar w:fldCharType="end"/>
        </w:r>
      </w:hyperlink>
    </w:p>
    <w:p w14:paraId="410704AE" w14:textId="60181848" w:rsidR="00F84B86" w:rsidRDefault="00767843">
      <w:pPr>
        <w:pStyle w:val="TableofFigures"/>
        <w:tabs>
          <w:tab w:val="right" w:leader="dot" w:pos="9350"/>
        </w:tabs>
        <w:rPr>
          <w:rFonts w:asciiTheme="minorHAnsi" w:eastAsiaTheme="minorEastAsia" w:hAnsiTheme="minorHAnsi"/>
          <w:noProof/>
        </w:rPr>
      </w:pPr>
      <w:hyperlink w:anchor="_Toc17268994" w:history="1">
        <w:r w:rsidR="00F84B86" w:rsidRPr="00C07D34">
          <w:rPr>
            <w:rStyle w:val="Hyperlink"/>
            <w:noProof/>
          </w:rPr>
          <w:t>Table IX.A.36. 4 Area Source Rules Implementation Schedule and EPA Approval Status</w:t>
        </w:r>
        <w:r w:rsidR="00F84B86">
          <w:rPr>
            <w:noProof/>
            <w:webHidden/>
          </w:rPr>
          <w:tab/>
        </w:r>
        <w:r w:rsidR="00F84B86">
          <w:rPr>
            <w:noProof/>
            <w:webHidden/>
          </w:rPr>
          <w:fldChar w:fldCharType="begin"/>
        </w:r>
        <w:r w:rsidR="00F84B86">
          <w:rPr>
            <w:noProof/>
            <w:webHidden/>
          </w:rPr>
          <w:instrText xml:space="preserve"> PAGEREF _Toc17268994 \h </w:instrText>
        </w:r>
        <w:r w:rsidR="00F84B86">
          <w:rPr>
            <w:noProof/>
            <w:webHidden/>
          </w:rPr>
        </w:r>
        <w:r w:rsidR="00F84B86">
          <w:rPr>
            <w:noProof/>
            <w:webHidden/>
          </w:rPr>
          <w:fldChar w:fldCharType="separate"/>
        </w:r>
        <w:r>
          <w:rPr>
            <w:noProof/>
            <w:webHidden/>
          </w:rPr>
          <w:t>11</w:t>
        </w:r>
        <w:r w:rsidR="00F84B86">
          <w:rPr>
            <w:noProof/>
            <w:webHidden/>
          </w:rPr>
          <w:fldChar w:fldCharType="end"/>
        </w:r>
      </w:hyperlink>
    </w:p>
    <w:p w14:paraId="454B51FD" w14:textId="1DEB05C7" w:rsidR="00F84B86" w:rsidRDefault="00767843">
      <w:pPr>
        <w:pStyle w:val="TableofFigures"/>
        <w:tabs>
          <w:tab w:val="right" w:leader="dot" w:pos="9350"/>
        </w:tabs>
        <w:rPr>
          <w:rFonts w:asciiTheme="minorHAnsi" w:eastAsiaTheme="minorEastAsia" w:hAnsiTheme="minorHAnsi"/>
          <w:noProof/>
        </w:rPr>
      </w:pPr>
      <w:hyperlink w:anchor="_Toc17268995" w:history="1">
        <w:r w:rsidR="00F84B86" w:rsidRPr="00C07D34">
          <w:rPr>
            <w:rStyle w:val="Hyperlink"/>
            <w:noProof/>
          </w:rPr>
          <w:t>Table IX.A.36. 5 Point Source Emission Control Measure Implementation Schedule and Compliance Mechanism</w:t>
        </w:r>
        <w:r w:rsidR="00F84B86">
          <w:rPr>
            <w:noProof/>
            <w:webHidden/>
          </w:rPr>
          <w:tab/>
        </w:r>
        <w:r w:rsidR="00F84B86">
          <w:rPr>
            <w:noProof/>
            <w:webHidden/>
          </w:rPr>
          <w:fldChar w:fldCharType="begin"/>
        </w:r>
        <w:r w:rsidR="00F84B86">
          <w:rPr>
            <w:noProof/>
            <w:webHidden/>
          </w:rPr>
          <w:instrText xml:space="preserve"> PAGEREF _Toc17268995 \h </w:instrText>
        </w:r>
        <w:r w:rsidR="00F84B86">
          <w:rPr>
            <w:noProof/>
            <w:webHidden/>
          </w:rPr>
        </w:r>
        <w:r w:rsidR="00F84B86">
          <w:rPr>
            <w:noProof/>
            <w:webHidden/>
          </w:rPr>
          <w:fldChar w:fldCharType="separate"/>
        </w:r>
        <w:r>
          <w:rPr>
            <w:noProof/>
            <w:webHidden/>
          </w:rPr>
          <w:t>16</w:t>
        </w:r>
        <w:r w:rsidR="00F84B86">
          <w:rPr>
            <w:noProof/>
            <w:webHidden/>
          </w:rPr>
          <w:fldChar w:fldCharType="end"/>
        </w:r>
      </w:hyperlink>
    </w:p>
    <w:p w14:paraId="75953B63" w14:textId="096F3D3E" w:rsidR="00F84B86" w:rsidRDefault="00767843">
      <w:pPr>
        <w:pStyle w:val="TableofFigures"/>
        <w:tabs>
          <w:tab w:val="right" w:leader="dot" w:pos="9350"/>
        </w:tabs>
        <w:rPr>
          <w:rFonts w:asciiTheme="minorHAnsi" w:eastAsiaTheme="minorEastAsia" w:hAnsiTheme="minorHAnsi"/>
          <w:noProof/>
        </w:rPr>
      </w:pPr>
      <w:hyperlink w:anchor="_Toc17268996" w:history="1">
        <w:r w:rsidR="00F84B86" w:rsidRPr="00C07D34">
          <w:rPr>
            <w:rStyle w:val="Hyperlink"/>
            <w:noProof/>
          </w:rPr>
          <w:t>Table IX.A.36. 6 Area Source Rule Emissions Reduction in SLC NAA</w:t>
        </w:r>
        <w:r w:rsidR="00F84B86">
          <w:rPr>
            <w:noProof/>
            <w:webHidden/>
          </w:rPr>
          <w:tab/>
        </w:r>
        <w:r w:rsidR="00F84B86">
          <w:rPr>
            <w:noProof/>
            <w:webHidden/>
          </w:rPr>
          <w:fldChar w:fldCharType="begin"/>
        </w:r>
        <w:r w:rsidR="00F84B86">
          <w:rPr>
            <w:noProof/>
            <w:webHidden/>
          </w:rPr>
          <w:instrText xml:space="preserve"> PAGEREF _Toc17268996 \h </w:instrText>
        </w:r>
        <w:r w:rsidR="00F84B86">
          <w:rPr>
            <w:noProof/>
            <w:webHidden/>
          </w:rPr>
        </w:r>
        <w:r w:rsidR="00F84B86">
          <w:rPr>
            <w:noProof/>
            <w:webHidden/>
          </w:rPr>
          <w:fldChar w:fldCharType="separate"/>
        </w:r>
        <w:r>
          <w:rPr>
            <w:noProof/>
            <w:webHidden/>
          </w:rPr>
          <w:t>18</w:t>
        </w:r>
        <w:r w:rsidR="00F84B86">
          <w:rPr>
            <w:noProof/>
            <w:webHidden/>
          </w:rPr>
          <w:fldChar w:fldCharType="end"/>
        </w:r>
      </w:hyperlink>
    </w:p>
    <w:p w14:paraId="7914350E" w14:textId="43D87D3F" w:rsidR="00F84B86" w:rsidRDefault="00767843">
      <w:pPr>
        <w:pStyle w:val="TableofFigures"/>
        <w:tabs>
          <w:tab w:val="right" w:leader="dot" w:pos="9350"/>
        </w:tabs>
        <w:rPr>
          <w:rFonts w:asciiTheme="minorHAnsi" w:eastAsiaTheme="minorEastAsia" w:hAnsiTheme="minorHAnsi"/>
          <w:noProof/>
        </w:rPr>
      </w:pPr>
      <w:hyperlink w:anchor="_Toc17268997" w:history="1">
        <w:r w:rsidR="00F84B86" w:rsidRPr="00C07D34">
          <w:rPr>
            <w:rStyle w:val="Hyperlink"/>
            <w:noProof/>
          </w:rPr>
          <w:t>Table IX.A.36. 7 Emission Reductions in SLC NAA from all Controls in Serious SIP</w:t>
        </w:r>
        <w:r w:rsidR="00F84B86">
          <w:rPr>
            <w:noProof/>
            <w:webHidden/>
          </w:rPr>
          <w:tab/>
        </w:r>
        <w:r w:rsidR="00F84B86">
          <w:rPr>
            <w:noProof/>
            <w:webHidden/>
          </w:rPr>
          <w:fldChar w:fldCharType="begin"/>
        </w:r>
        <w:r w:rsidR="00F84B86">
          <w:rPr>
            <w:noProof/>
            <w:webHidden/>
          </w:rPr>
          <w:instrText xml:space="preserve"> PAGEREF _Toc17268997 \h </w:instrText>
        </w:r>
        <w:r w:rsidR="00F84B86">
          <w:rPr>
            <w:noProof/>
            <w:webHidden/>
          </w:rPr>
        </w:r>
        <w:r w:rsidR="00F84B86">
          <w:rPr>
            <w:noProof/>
            <w:webHidden/>
          </w:rPr>
          <w:fldChar w:fldCharType="separate"/>
        </w:r>
        <w:r>
          <w:rPr>
            <w:noProof/>
            <w:webHidden/>
          </w:rPr>
          <w:t>19</w:t>
        </w:r>
        <w:r w:rsidR="00F84B86">
          <w:rPr>
            <w:noProof/>
            <w:webHidden/>
          </w:rPr>
          <w:fldChar w:fldCharType="end"/>
        </w:r>
      </w:hyperlink>
    </w:p>
    <w:p w14:paraId="1744501A" w14:textId="1CD71FE0" w:rsidR="00F84B86" w:rsidRDefault="00767843">
      <w:pPr>
        <w:pStyle w:val="TableofFigures"/>
        <w:tabs>
          <w:tab w:val="right" w:leader="dot" w:pos="9350"/>
        </w:tabs>
        <w:rPr>
          <w:rFonts w:asciiTheme="minorHAnsi" w:eastAsiaTheme="minorEastAsia" w:hAnsiTheme="minorHAnsi"/>
          <w:noProof/>
        </w:rPr>
      </w:pPr>
      <w:hyperlink w:anchor="_Toc17268998" w:history="1">
        <w:r w:rsidR="00F84B86" w:rsidRPr="00C07D34">
          <w:rPr>
            <w:rStyle w:val="Hyperlink"/>
            <w:noProof/>
          </w:rPr>
          <w:t>Table IX.A.36. 8 CAA Maintenance Plan Requirements</w:t>
        </w:r>
        <w:r w:rsidR="00F84B86">
          <w:rPr>
            <w:noProof/>
            <w:webHidden/>
          </w:rPr>
          <w:tab/>
        </w:r>
        <w:r w:rsidR="00F84B86">
          <w:rPr>
            <w:noProof/>
            <w:webHidden/>
          </w:rPr>
          <w:fldChar w:fldCharType="begin"/>
        </w:r>
        <w:r w:rsidR="00F84B86">
          <w:rPr>
            <w:noProof/>
            <w:webHidden/>
          </w:rPr>
          <w:instrText xml:space="preserve"> PAGEREF _Toc17268998 \h </w:instrText>
        </w:r>
        <w:r w:rsidR="00F84B86">
          <w:rPr>
            <w:noProof/>
            <w:webHidden/>
          </w:rPr>
        </w:r>
        <w:r w:rsidR="00F84B86">
          <w:rPr>
            <w:noProof/>
            <w:webHidden/>
          </w:rPr>
          <w:fldChar w:fldCharType="separate"/>
        </w:r>
        <w:r>
          <w:rPr>
            <w:noProof/>
            <w:webHidden/>
          </w:rPr>
          <w:t>21</w:t>
        </w:r>
        <w:r w:rsidR="00F84B86">
          <w:rPr>
            <w:noProof/>
            <w:webHidden/>
          </w:rPr>
          <w:fldChar w:fldCharType="end"/>
        </w:r>
      </w:hyperlink>
    </w:p>
    <w:p w14:paraId="32C1AC38" w14:textId="72BE9244" w:rsidR="00F84B86" w:rsidRDefault="00767843">
      <w:pPr>
        <w:pStyle w:val="TableofFigures"/>
        <w:tabs>
          <w:tab w:val="right" w:leader="dot" w:pos="9350"/>
        </w:tabs>
        <w:rPr>
          <w:rFonts w:asciiTheme="minorHAnsi" w:eastAsiaTheme="minorEastAsia" w:hAnsiTheme="minorHAnsi"/>
          <w:noProof/>
        </w:rPr>
      </w:pPr>
      <w:hyperlink w:anchor="_Toc17268999" w:history="1">
        <w:r w:rsidR="00F84B86" w:rsidRPr="00C07D34">
          <w:rPr>
            <w:rStyle w:val="Hyperlink"/>
            <w:noProof/>
          </w:rPr>
          <w:t>Table IX.A.36. 9  Baseline and Future Design Values (</w:t>
        </w:r>
        <w:r w:rsidR="00792B38">
          <w:rPr>
            <w:rStyle w:val="Hyperlink"/>
            <w:noProof/>
          </w:rPr>
          <w:t>µ</w:t>
        </w:r>
        <w:r w:rsidR="00F84B86" w:rsidRPr="00C07D34">
          <w:rPr>
            <w:rStyle w:val="Hyperlink"/>
            <w:noProof/>
          </w:rPr>
          <w:t>g/m</w:t>
        </w:r>
        <w:r w:rsidR="00F84B86" w:rsidRPr="00C07D34">
          <w:rPr>
            <w:rStyle w:val="Hyperlink"/>
            <w:noProof/>
            <w:vertAlign w:val="superscript"/>
          </w:rPr>
          <w:t>3</w:t>
        </w:r>
        <w:r w:rsidR="00F84B86" w:rsidRPr="00C07D34">
          <w:rPr>
            <w:rStyle w:val="Hyperlink"/>
            <w:noProof/>
          </w:rPr>
          <w:t>) at Monitors in SLC NAA</w:t>
        </w:r>
        <w:r w:rsidR="00F84B86">
          <w:rPr>
            <w:noProof/>
            <w:webHidden/>
          </w:rPr>
          <w:tab/>
        </w:r>
        <w:r w:rsidR="00F84B86">
          <w:rPr>
            <w:noProof/>
            <w:webHidden/>
          </w:rPr>
          <w:fldChar w:fldCharType="begin"/>
        </w:r>
        <w:r w:rsidR="00F84B86">
          <w:rPr>
            <w:noProof/>
            <w:webHidden/>
          </w:rPr>
          <w:instrText xml:space="preserve"> PAGEREF _Toc17268999 \h </w:instrText>
        </w:r>
        <w:r w:rsidR="00F84B86">
          <w:rPr>
            <w:noProof/>
            <w:webHidden/>
          </w:rPr>
        </w:r>
        <w:r w:rsidR="00F84B86">
          <w:rPr>
            <w:noProof/>
            <w:webHidden/>
          </w:rPr>
          <w:fldChar w:fldCharType="separate"/>
        </w:r>
        <w:r>
          <w:rPr>
            <w:noProof/>
            <w:webHidden/>
          </w:rPr>
          <w:t>39</w:t>
        </w:r>
        <w:r w:rsidR="00F84B86">
          <w:rPr>
            <w:noProof/>
            <w:webHidden/>
          </w:rPr>
          <w:fldChar w:fldCharType="end"/>
        </w:r>
      </w:hyperlink>
    </w:p>
    <w:p w14:paraId="4AF8B1B7" w14:textId="1B6E84B9" w:rsidR="00F84B86" w:rsidRDefault="00767843">
      <w:pPr>
        <w:pStyle w:val="TableofFigures"/>
        <w:tabs>
          <w:tab w:val="right" w:leader="dot" w:pos="9350"/>
        </w:tabs>
        <w:rPr>
          <w:rFonts w:asciiTheme="minorHAnsi" w:eastAsiaTheme="minorEastAsia" w:hAnsiTheme="minorHAnsi"/>
          <w:noProof/>
        </w:rPr>
      </w:pPr>
      <w:hyperlink w:anchor="_Toc17269000" w:history="1">
        <w:r w:rsidR="00F84B86" w:rsidRPr="00C07D34">
          <w:rPr>
            <w:rStyle w:val="Hyperlink"/>
            <w:noProof/>
          </w:rPr>
          <w:t>Table IX.A.36. 10 Emissions Inventories in Tons per Average Episode Day by Year and Source Category</w:t>
        </w:r>
        <w:r w:rsidR="00F84B86">
          <w:rPr>
            <w:noProof/>
            <w:webHidden/>
          </w:rPr>
          <w:tab/>
        </w:r>
        <w:r w:rsidR="00F84B86">
          <w:rPr>
            <w:noProof/>
            <w:webHidden/>
          </w:rPr>
          <w:fldChar w:fldCharType="begin"/>
        </w:r>
        <w:r w:rsidR="00F84B86">
          <w:rPr>
            <w:noProof/>
            <w:webHidden/>
          </w:rPr>
          <w:instrText xml:space="preserve"> PAGEREF _Toc17269000 \h </w:instrText>
        </w:r>
        <w:r w:rsidR="00F84B86">
          <w:rPr>
            <w:noProof/>
            <w:webHidden/>
          </w:rPr>
        </w:r>
        <w:r w:rsidR="00F84B86">
          <w:rPr>
            <w:noProof/>
            <w:webHidden/>
          </w:rPr>
          <w:fldChar w:fldCharType="separate"/>
        </w:r>
        <w:r>
          <w:rPr>
            <w:noProof/>
            <w:webHidden/>
          </w:rPr>
          <w:t>41</w:t>
        </w:r>
        <w:r w:rsidR="00F84B86">
          <w:rPr>
            <w:noProof/>
            <w:webHidden/>
          </w:rPr>
          <w:fldChar w:fldCharType="end"/>
        </w:r>
      </w:hyperlink>
    </w:p>
    <w:p w14:paraId="41C69D5C" w14:textId="17D57734" w:rsidR="00F84B86" w:rsidRDefault="00767843">
      <w:pPr>
        <w:pStyle w:val="TableofFigures"/>
        <w:tabs>
          <w:tab w:val="right" w:leader="dot" w:pos="9350"/>
        </w:tabs>
        <w:rPr>
          <w:rFonts w:asciiTheme="minorHAnsi" w:eastAsiaTheme="minorEastAsia" w:hAnsiTheme="minorHAnsi"/>
          <w:noProof/>
        </w:rPr>
      </w:pPr>
      <w:hyperlink w:anchor="_Toc17269001" w:history="1">
        <w:r w:rsidR="00F84B86" w:rsidRPr="00C07D34">
          <w:rPr>
            <w:rStyle w:val="Hyperlink"/>
            <w:noProof/>
          </w:rPr>
          <w:t>Table IX.A.36. 11 2035 Wasatch Front Regional Council Motor Vehicle Emissions Budget</w:t>
        </w:r>
        <w:r w:rsidR="00F84B86">
          <w:rPr>
            <w:noProof/>
            <w:webHidden/>
          </w:rPr>
          <w:tab/>
        </w:r>
        <w:r w:rsidR="00F84B86">
          <w:rPr>
            <w:noProof/>
            <w:webHidden/>
          </w:rPr>
          <w:fldChar w:fldCharType="begin"/>
        </w:r>
        <w:r w:rsidR="00F84B86">
          <w:rPr>
            <w:noProof/>
            <w:webHidden/>
          </w:rPr>
          <w:instrText xml:space="preserve"> PAGEREF _Toc17269001 \h </w:instrText>
        </w:r>
        <w:r w:rsidR="00F84B86">
          <w:rPr>
            <w:noProof/>
            <w:webHidden/>
          </w:rPr>
        </w:r>
        <w:r w:rsidR="00F84B86">
          <w:rPr>
            <w:noProof/>
            <w:webHidden/>
          </w:rPr>
          <w:fldChar w:fldCharType="separate"/>
        </w:r>
        <w:r>
          <w:rPr>
            <w:noProof/>
            <w:webHidden/>
          </w:rPr>
          <w:t>43</w:t>
        </w:r>
        <w:r w:rsidR="00F84B86">
          <w:rPr>
            <w:noProof/>
            <w:webHidden/>
          </w:rPr>
          <w:fldChar w:fldCharType="end"/>
        </w:r>
      </w:hyperlink>
    </w:p>
    <w:p w14:paraId="7B8FB121" w14:textId="16AA4652" w:rsidR="00F84B86" w:rsidRDefault="00767843">
      <w:pPr>
        <w:pStyle w:val="TableofFigures"/>
        <w:tabs>
          <w:tab w:val="right" w:leader="dot" w:pos="9350"/>
        </w:tabs>
        <w:rPr>
          <w:rFonts w:asciiTheme="minorHAnsi" w:eastAsiaTheme="minorEastAsia" w:hAnsiTheme="minorHAnsi"/>
          <w:noProof/>
        </w:rPr>
      </w:pPr>
      <w:hyperlink w:anchor="_Toc17269002" w:history="1">
        <w:r w:rsidR="00F84B86" w:rsidRPr="00C07D34">
          <w:rPr>
            <w:rStyle w:val="Hyperlink"/>
            <w:noProof/>
          </w:rPr>
          <w:t>Table IX.A.36. 12 2026 On-Road Mobile Inventory Compared to Total 2026 Emissions Inventory</w:t>
        </w:r>
        <w:r w:rsidR="00F84B86">
          <w:rPr>
            <w:noProof/>
            <w:webHidden/>
          </w:rPr>
          <w:tab/>
        </w:r>
        <w:r w:rsidR="00F84B86">
          <w:rPr>
            <w:noProof/>
            <w:webHidden/>
          </w:rPr>
          <w:fldChar w:fldCharType="begin"/>
        </w:r>
        <w:r w:rsidR="00F84B86">
          <w:rPr>
            <w:noProof/>
            <w:webHidden/>
          </w:rPr>
          <w:instrText xml:space="preserve"> PAGEREF _Toc17269002 \h </w:instrText>
        </w:r>
        <w:r w:rsidR="00F84B86">
          <w:rPr>
            <w:noProof/>
            <w:webHidden/>
          </w:rPr>
        </w:r>
        <w:r w:rsidR="00F84B86">
          <w:rPr>
            <w:noProof/>
            <w:webHidden/>
          </w:rPr>
          <w:fldChar w:fldCharType="separate"/>
        </w:r>
        <w:r>
          <w:rPr>
            <w:noProof/>
            <w:webHidden/>
          </w:rPr>
          <w:t>44</w:t>
        </w:r>
        <w:r w:rsidR="00F84B86">
          <w:rPr>
            <w:noProof/>
            <w:webHidden/>
          </w:rPr>
          <w:fldChar w:fldCharType="end"/>
        </w:r>
      </w:hyperlink>
    </w:p>
    <w:p w14:paraId="54460A31" w14:textId="22B22582" w:rsidR="00CE7395" w:rsidRDefault="00CE7395" w:rsidP="00CE7395">
      <w:r>
        <w:fldChar w:fldCharType="end"/>
      </w:r>
    </w:p>
    <w:p w14:paraId="0D3FDEF0" w14:textId="37FBB086" w:rsidR="00A81577" w:rsidRPr="00A81577" w:rsidRDefault="00A81577" w:rsidP="00CE7395">
      <w:pPr>
        <w:rPr>
          <w:rFonts w:ascii="Arial" w:hAnsi="Arial" w:cs="Arial"/>
          <w:b/>
          <w:sz w:val="28"/>
          <w:szCs w:val="28"/>
        </w:rPr>
      </w:pPr>
      <w:bookmarkStart w:id="1" w:name="_Hlk16171627"/>
      <w:r>
        <w:rPr>
          <w:rFonts w:ascii="Arial" w:hAnsi="Arial" w:cs="Arial"/>
          <w:b/>
          <w:sz w:val="28"/>
          <w:szCs w:val="28"/>
        </w:rPr>
        <w:t>List</w:t>
      </w:r>
      <w:r w:rsidRPr="00A81577">
        <w:rPr>
          <w:rFonts w:ascii="Arial" w:hAnsi="Arial" w:cs="Arial"/>
          <w:b/>
          <w:sz w:val="28"/>
          <w:szCs w:val="28"/>
        </w:rPr>
        <w:t xml:space="preserve"> of Figures</w:t>
      </w:r>
    </w:p>
    <w:bookmarkEnd w:id="1"/>
    <w:p w14:paraId="38C8B689" w14:textId="65CCCDB7" w:rsidR="00F84B86" w:rsidRDefault="00A81577">
      <w:pPr>
        <w:pStyle w:val="TableofFigures"/>
        <w:tabs>
          <w:tab w:val="right" w:leader="dot" w:pos="9350"/>
        </w:tabs>
        <w:rPr>
          <w:rFonts w:asciiTheme="minorHAnsi" w:eastAsiaTheme="minorEastAsia" w:hAnsiTheme="minorHAnsi"/>
          <w:noProof/>
        </w:rPr>
      </w:pPr>
      <w:r>
        <w:fldChar w:fldCharType="begin"/>
      </w:r>
      <w:r>
        <w:instrText xml:space="preserve"> TOC \h \z \c "Figure IX.A.36." </w:instrText>
      </w:r>
      <w:r>
        <w:fldChar w:fldCharType="separate"/>
      </w:r>
      <w:hyperlink w:anchor="_Toc17269003" w:history="1">
        <w:r w:rsidR="00F84B86" w:rsidRPr="00812142">
          <w:rPr>
            <w:rStyle w:val="Hyperlink"/>
            <w:noProof/>
          </w:rPr>
          <w:t>Figure IX.A.36. 1 Utah’s PM</w:t>
        </w:r>
        <w:r w:rsidR="00F84B86" w:rsidRPr="00812142">
          <w:rPr>
            <w:rStyle w:val="Hyperlink"/>
            <w:noProof/>
            <w:vertAlign w:val="subscript"/>
          </w:rPr>
          <w:t>2.5</w:t>
        </w:r>
        <w:r w:rsidR="00F84B86" w:rsidRPr="00812142">
          <w:rPr>
            <w:rStyle w:val="Hyperlink"/>
            <w:noProof/>
          </w:rPr>
          <w:t xml:space="preserve"> Monitoring Network</w:t>
        </w:r>
        <w:r w:rsidR="00F84B86">
          <w:rPr>
            <w:noProof/>
            <w:webHidden/>
          </w:rPr>
          <w:tab/>
        </w:r>
        <w:r w:rsidR="00F84B86">
          <w:rPr>
            <w:noProof/>
            <w:webHidden/>
          </w:rPr>
          <w:fldChar w:fldCharType="begin"/>
        </w:r>
        <w:r w:rsidR="00F84B86">
          <w:rPr>
            <w:noProof/>
            <w:webHidden/>
          </w:rPr>
          <w:instrText xml:space="preserve"> PAGEREF _Toc17269003 \h </w:instrText>
        </w:r>
        <w:r w:rsidR="00F84B86">
          <w:rPr>
            <w:noProof/>
            <w:webHidden/>
          </w:rPr>
        </w:r>
        <w:r w:rsidR="00F84B86">
          <w:rPr>
            <w:noProof/>
            <w:webHidden/>
          </w:rPr>
          <w:fldChar w:fldCharType="separate"/>
        </w:r>
        <w:r w:rsidR="00767843">
          <w:rPr>
            <w:noProof/>
            <w:webHidden/>
          </w:rPr>
          <w:t>5</w:t>
        </w:r>
        <w:r w:rsidR="00F84B86">
          <w:rPr>
            <w:noProof/>
            <w:webHidden/>
          </w:rPr>
          <w:fldChar w:fldCharType="end"/>
        </w:r>
      </w:hyperlink>
    </w:p>
    <w:p w14:paraId="070F823C" w14:textId="0B1012C1" w:rsidR="00F84B86" w:rsidRDefault="00767843">
      <w:pPr>
        <w:pStyle w:val="TableofFigures"/>
        <w:tabs>
          <w:tab w:val="right" w:leader="dot" w:pos="9350"/>
        </w:tabs>
        <w:rPr>
          <w:rFonts w:asciiTheme="minorHAnsi" w:eastAsiaTheme="minorEastAsia" w:hAnsiTheme="minorHAnsi"/>
          <w:noProof/>
        </w:rPr>
      </w:pPr>
      <w:hyperlink w:anchor="_Toc17269004" w:history="1">
        <w:r w:rsidR="00F84B86" w:rsidRPr="00812142">
          <w:rPr>
            <w:rStyle w:val="Hyperlink"/>
            <w:noProof/>
          </w:rPr>
          <w:t>Figure IX.A.36. 2 SLC NAA PM</w:t>
        </w:r>
        <w:r w:rsidR="00F84B86" w:rsidRPr="00812142">
          <w:rPr>
            <w:rStyle w:val="Hyperlink"/>
            <w:noProof/>
            <w:vertAlign w:val="subscript"/>
          </w:rPr>
          <w:t>2.5</w:t>
        </w:r>
        <w:r w:rsidR="00F84B86" w:rsidRPr="00812142">
          <w:rPr>
            <w:rStyle w:val="Hyperlink"/>
            <w:noProof/>
          </w:rPr>
          <w:t xml:space="preserve"> Annual Mean Concentration</w:t>
        </w:r>
        <w:r w:rsidR="00F84B86">
          <w:rPr>
            <w:noProof/>
            <w:webHidden/>
          </w:rPr>
          <w:tab/>
        </w:r>
        <w:r w:rsidR="00F84B86">
          <w:rPr>
            <w:noProof/>
            <w:webHidden/>
          </w:rPr>
          <w:fldChar w:fldCharType="begin"/>
        </w:r>
        <w:r w:rsidR="00F84B86">
          <w:rPr>
            <w:noProof/>
            <w:webHidden/>
          </w:rPr>
          <w:instrText xml:space="preserve"> PAGEREF _Toc17269004 \h </w:instrText>
        </w:r>
        <w:r w:rsidR="00F84B86">
          <w:rPr>
            <w:noProof/>
            <w:webHidden/>
          </w:rPr>
        </w:r>
        <w:r w:rsidR="00F84B86">
          <w:rPr>
            <w:noProof/>
            <w:webHidden/>
          </w:rPr>
          <w:fldChar w:fldCharType="separate"/>
        </w:r>
        <w:r>
          <w:rPr>
            <w:noProof/>
            <w:webHidden/>
          </w:rPr>
          <w:t>13</w:t>
        </w:r>
        <w:r w:rsidR="00F84B86">
          <w:rPr>
            <w:noProof/>
            <w:webHidden/>
          </w:rPr>
          <w:fldChar w:fldCharType="end"/>
        </w:r>
      </w:hyperlink>
    </w:p>
    <w:p w14:paraId="7903F0D0" w14:textId="1FECECBD" w:rsidR="00F84B86" w:rsidRDefault="00767843">
      <w:pPr>
        <w:pStyle w:val="TableofFigures"/>
        <w:tabs>
          <w:tab w:val="right" w:leader="dot" w:pos="9350"/>
        </w:tabs>
        <w:rPr>
          <w:rFonts w:asciiTheme="minorHAnsi" w:eastAsiaTheme="minorEastAsia" w:hAnsiTheme="minorHAnsi"/>
          <w:noProof/>
        </w:rPr>
      </w:pPr>
      <w:hyperlink w:anchor="_Toc17269005" w:history="1">
        <w:r w:rsidR="00F84B86" w:rsidRPr="00812142">
          <w:rPr>
            <w:rStyle w:val="Hyperlink"/>
            <w:noProof/>
          </w:rPr>
          <w:t>Figure IX.A.36. 3 SLC NAA PM</w:t>
        </w:r>
        <w:r w:rsidR="00F84B86" w:rsidRPr="00812142">
          <w:rPr>
            <w:rStyle w:val="Hyperlink"/>
            <w:noProof/>
            <w:vertAlign w:val="subscript"/>
          </w:rPr>
          <w:t>2.5</w:t>
        </w:r>
        <w:r w:rsidR="00F84B86" w:rsidRPr="00812142">
          <w:rPr>
            <w:rStyle w:val="Hyperlink"/>
            <w:noProof/>
          </w:rPr>
          <w:t xml:space="preserve"> 98</w:t>
        </w:r>
        <w:r w:rsidR="00F84B86" w:rsidRPr="00812142">
          <w:rPr>
            <w:rStyle w:val="Hyperlink"/>
            <w:noProof/>
            <w:vertAlign w:val="superscript"/>
          </w:rPr>
          <w:t>th</w:t>
        </w:r>
        <w:r w:rsidR="00F84B86" w:rsidRPr="00812142">
          <w:rPr>
            <w:rStyle w:val="Hyperlink"/>
            <w:noProof/>
          </w:rPr>
          <w:t xml:space="preserve"> Percentile of 24-hr Concentration</w:t>
        </w:r>
        <w:r w:rsidR="00F84B86">
          <w:rPr>
            <w:noProof/>
            <w:webHidden/>
          </w:rPr>
          <w:tab/>
        </w:r>
        <w:r w:rsidR="00F84B86">
          <w:rPr>
            <w:noProof/>
            <w:webHidden/>
          </w:rPr>
          <w:fldChar w:fldCharType="begin"/>
        </w:r>
        <w:r w:rsidR="00F84B86">
          <w:rPr>
            <w:noProof/>
            <w:webHidden/>
          </w:rPr>
          <w:instrText xml:space="preserve"> PAGEREF _Toc17269005 \h </w:instrText>
        </w:r>
        <w:r w:rsidR="00F84B86">
          <w:rPr>
            <w:noProof/>
            <w:webHidden/>
          </w:rPr>
        </w:r>
        <w:r w:rsidR="00F84B86">
          <w:rPr>
            <w:noProof/>
            <w:webHidden/>
          </w:rPr>
          <w:fldChar w:fldCharType="separate"/>
        </w:r>
        <w:r>
          <w:rPr>
            <w:noProof/>
            <w:webHidden/>
          </w:rPr>
          <w:t>14</w:t>
        </w:r>
        <w:r w:rsidR="00F84B86">
          <w:rPr>
            <w:noProof/>
            <w:webHidden/>
          </w:rPr>
          <w:fldChar w:fldCharType="end"/>
        </w:r>
      </w:hyperlink>
    </w:p>
    <w:p w14:paraId="273A6489" w14:textId="2299B94D" w:rsidR="00F84B86" w:rsidRDefault="00767843">
      <w:pPr>
        <w:pStyle w:val="TableofFigures"/>
        <w:tabs>
          <w:tab w:val="right" w:leader="dot" w:pos="9350"/>
        </w:tabs>
        <w:rPr>
          <w:rFonts w:asciiTheme="minorHAnsi" w:eastAsiaTheme="minorEastAsia" w:hAnsiTheme="minorHAnsi"/>
          <w:noProof/>
        </w:rPr>
      </w:pPr>
      <w:hyperlink w:anchor="_Toc17269006" w:history="1">
        <w:r w:rsidR="00F84B86" w:rsidRPr="00812142">
          <w:rPr>
            <w:rStyle w:val="Hyperlink"/>
            <w:noProof/>
          </w:rPr>
          <w:t>Figure IX.A.36. 4 CAMx Photochemical Modeling Domains in Two-Way Nested Configuration</w:t>
        </w:r>
        <w:r w:rsidR="00F84B86">
          <w:rPr>
            <w:noProof/>
            <w:webHidden/>
          </w:rPr>
          <w:tab/>
        </w:r>
        <w:r w:rsidR="00F84B86">
          <w:rPr>
            <w:noProof/>
            <w:webHidden/>
          </w:rPr>
          <w:fldChar w:fldCharType="begin"/>
        </w:r>
        <w:r w:rsidR="00F84B86">
          <w:rPr>
            <w:noProof/>
            <w:webHidden/>
          </w:rPr>
          <w:instrText xml:space="preserve"> PAGEREF _Toc17269006 \h </w:instrText>
        </w:r>
        <w:r w:rsidR="00F84B86">
          <w:rPr>
            <w:noProof/>
            <w:webHidden/>
          </w:rPr>
        </w:r>
        <w:r w:rsidR="00F84B86">
          <w:rPr>
            <w:noProof/>
            <w:webHidden/>
          </w:rPr>
          <w:fldChar w:fldCharType="separate"/>
        </w:r>
        <w:r>
          <w:rPr>
            <w:noProof/>
            <w:webHidden/>
          </w:rPr>
          <w:t>23</w:t>
        </w:r>
        <w:r w:rsidR="00F84B86">
          <w:rPr>
            <w:noProof/>
            <w:webHidden/>
          </w:rPr>
          <w:fldChar w:fldCharType="end"/>
        </w:r>
      </w:hyperlink>
    </w:p>
    <w:p w14:paraId="062F90BF" w14:textId="3DD97993" w:rsidR="00F84B86" w:rsidRDefault="00767843">
      <w:pPr>
        <w:pStyle w:val="TableofFigures"/>
        <w:tabs>
          <w:tab w:val="right" w:leader="dot" w:pos="9350"/>
        </w:tabs>
        <w:rPr>
          <w:rFonts w:asciiTheme="minorHAnsi" w:eastAsiaTheme="minorEastAsia" w:hAnsiTheme="minorHAnsi"/>
          <w:noProof/>
        </w:rPr>
      </w:pPr>
      <w:hyperlink w:anchor="_Toc17269007" w:history="1">
        <w:r w:rsidR="00F84B86" w:rsidRPr="00812142">
          <w:rPr>
            <w:rStyle w:val="Hyperlink"/>
            <w:noProof/>
          </w:rPr>
          <w:t>Figure IX.A.36. 5 Measured and Modeled 24-hr PM</w:t>
        </w:r>
        <w:r w:rsidR="00F84B86" w:rsidRPr="00812142">
          <w:rPr>
            <w:rStyle w:val="Hyperlink"/>
            <w:noProof/>
            <w:vertAlign w:val="subscript"/>
          </w:rPr>
          <w:t>2.5</w:t>
        </w:r>
        <w:r w:rsidR="00F84B86" w:rsidRPr="00812142">
          <w:rPr>
            <w:rStyle w:val="Hyperlink"/>
            <w:noProof/>
          </w:rPr>
          <w:t xml:space="preserve"> Concentrations During January 1-10 2011 at Hawthorne Monitoring Station in SLC NAA</w:t>
        </w:r>
        <w:r w:rsidR="00F84B86">
          <w:rPr>
            <w:noProof/>
            <w:webHidden/>
          </w:rPr>
          <w:tab/>
        </w:r>
        <w:r w:rsidR="00F84B86">
          <w:rPr>
            <w:noProof/>
            <w:webHidden/>
          </w:rPr>
          <w:fldChar w:fldCharType="begin"/>
        </w:r>
        <w:r w:rsidR="00F84B86">
          <w:rPr>
            <w:noProof/>
            <w:webHidden/>
          </w:rPr>
          <w:instrText xml:space="preserve"> PAGEREF _Toc17269007 \h </w:instrText>
        </w:r>
        <w:r w:rsidR="00F84B86">
          <w:rPr>
            <w:noProof/>
            <w:webHidden/>
          </w:rPr>
        </w:r>
        <w:r w:rsidR="00F84B86">
          <w:rPr>
            <w:noProof/>
            <w:webHidden/>
          </w:rPr>
          <w:fldChar w:fldCharType="separate"/>
        </w:r>
        <w:r>
          <w:rPr>
            <w:noProof/>
            <w:webHidden/>
          </w:rPr>
          <w:t>27</w:t>
        </w:r>
        <w:r w:rsidR="00F84B86">
          <w:rPr>
            <w:noProof/>
            <w:webHidden/>
          </w:rPr>
          <w:fldChar w:fldCharType="end"/>
        </w:r>
      </w:hyperlink>
    </w:p>
    <w:p w14:paraId="69D0B2F8" w14:textId="0A3F8E8F" w:rsidR="00F84B86" w:rsidRDefault="00767843">
      <w:pPr>
        <w:pStyle w:val="TableofFigures"/>
        <w:tabs>
          <w:tab w:val="right" w:leader="dot" w:pos="9350"/>
        </w:tabs>
        <w:rPr>
          <w:rFonts w:asciiTheme="minorHAnsi" w:eastAsiaTheme="minorEastAsia" w:hAnsiTheme="minorHAnsi"/>
          <w:noProof/>
        </w:rPr>
      </w:pPr>
      <w:hyperlink w:anchor="_Toc17269008" w:history="1">
        <w:r w:rsidR="00F84B86" w:rsidRPr="00812142">
          <w:rPr>
            <w:rStyle w:val="Hyperlink"/>
            <w:noProof/>
          </w:rPr>
          <w:t xml:space="preserve">Figure IX.A.36. 6 a) Measured and b) Modeled Species Contribution (in </w:t>
        </w:r>
        <w:r w:rsidR="00792B38">
          <w:rPr>
            <w:rStyle w:val="Hyperlink"/>
            <w:noProof/>
          </w:rPr>
          <w:t>µ</w:t>
        </w:r>
        <w:r w:rsidR="00F84B86" w:rsidRPr="00812142">
          <w:rPr>
            <w:rStyle w:val="Hyperlink"/>
            <w:noProof/>
          </w:rPr>
          <w:t>g/m</w:t>
        </w:r>
        <w:r w:rsidR="00F84B86" w:rsidRPr="00812142">
          <w:rPr>
            <w:rStyle w:val="Hyperlink"/>
            <w:noProof/>
            <w:vertAlign w:val="superscript"/>
          </w:rPr>
          <w:t>3</w:t>
        </w:r>
        <w:r w:rsidR="00F84B86" w:rsidRPr="00812142">
          <w:rPr>
            <w:rStyle w:val="Hyperlink"/>
            <w:noProof/>
          </w:rPr>
          <w:t xml:space="preserve"> and %) to PM</w:t>
        </w:r>
        <w:r w:rsidR="00F84B86" w:rsidRPr="00812142">
          <w:rPr>
            <w:rStyle w:val="Hyperlink"/>
            <w:noProof/>
            <w:vertAlign w:val="subscript"/>
          </w:rPr>
          <w:t>2.5</w:t>
        </w:r>
        <w:r w:rsidR="00F84B86" w:rsidRPr="00812142">
          <w:rPr>
            <w:rStyle w:val="Hyperlink"/>
            <w:noProof/>
          </w:rPr>
          <w:t xml:space="preserve"> at Hawthorne Monitoring Station in the SLC NAA on a Typical 24-hr PM</w:t>
        </w:r>
        <w:r w:rsidR="00F84B86" w:rsidRPr="00812142">
          <w:rPr>
            <w:rStyle w:val="Hyperlink"/>
            <w:noProof/>
            <w:vertAlign w:val="subscript"/>
          </w:rPr>
          <w:t>2.5</w:t>
        </w:r>
        <w:r w:rsidR="00F84B86" w:rsidRPr="00812142">
          <w:rPr>
            <w:rStyle w:val="Hyperlink"/>
            <w:noProof/>
          </w:rPr>
          <w:t xml:space="preserve"> Exceedance Day</w:t>
        </w:r>
        <w:r w:rsidR="00F84B86">
          <w:rPr>
            <w:noProof/>
            <w:webHidden/>
          </w:rPr>
          <w:tab/>
        </w:r>
        <w:r w:rsidR="00F84B86">
          <w:rPr>
            <w:noProof/>
            <w:webHidden/>
          </w:rPr>
          <w:fldChar w:fldCharType="begin"/>
        </w:r>
        <w:r w:rsidR="00F84B86">
          <w:rPr>
            <w:noProof/>
            <w:webHidden/>
          </w:rPr>
          <w:instrText xml:space="preserve"> PAGEREF _Toc17269008 \h </w:instrText>
        </w:r>
        <w:r w:rsidR="00F84B86">
          <w:rPr>
            <w:noProof/>
            <w:webHidden/>
          </w:rPr>
        </w:r>
        <w:r w:rsidR="00F84B86">
          <w:rPr>
            <w:noProof/>
            <w:webHidden/>
          </w:rPr>
          <w:fldChar w:fldCharType="separate"/>
        </w:r>
        <w:r>
          <w:rPr>
            <w:noProof/>
            <w:webHidden/>
          </w:rPr>
          <w:t>28</w:t>
        </w:r>
        <w:r w:rsidR="00F84B86">
          <w:rPr>
            <w:noProof/>
            <w:webHidden/>
          </w:rPr>
          <w:fldChar w:fldCharType="end"/>
        </w:r>
      </w:hyperlink>
    </w:p>
    <w:p w14:paraId="066ECE28" w14:textId="72FD0D0F" w:rsidR="00F84B86" w:rsidRDefault="00767843">
      <w:pPr>
        <w:pStyle w:val="TableofFigures"/>
        <w:tabs>
          <w:tab w:val="right" w:leader="dot" w:pos="9350"/>
        </w:tabs>
        <w:rPr>
          <w:rFonts w:asciiTheme="minorHAnsi" w:eastAsiaTheme="minorEastAsia" w:hAnsiTheme="minorHAnsi"/>
          <w:noProof/>
        </w:rPr>
      </w:pPr>
      <w:hyperlink w:anchor="_Toc17269009" w:history="1">
        <w:r w:rsidR="00F84B86" w:rsidRPr="00812142">
          <w:rPr>
            <w:rStyle w:val="Hyperlink"/>
            <w:noProof/>
          </w:rPr>
          <w:t>Figure IX.A.36. 7 Measured and Modeled 24-hr PM</w:t>
        </w:r>
        <w:r w:rsidR="00F84B86" w:rsidRPr="00812142">
          <w:rPr>
            <w:rStyle w:val="Hyperlink"/>
            <w:noProof/>
            <w:vertAlign w:val="subscript"/>
          </w:rPr>
          <w:t>2.5</w:t>
        </w:r>
        <w:r w:rsidR="00F84B86" w:rsidRPr="00812142">
          <w:rPr>
            <w:rStyle w:val="Hyperlink"/>
            <w:noProof/>
          </w:rPr>
          <w:t xml:space="preserve"> Concentrations During December 7-19, 2013 at Hawthorne Monitoring Station in the SLC NAA</w:t>
        </w:r>
        <w:r w:rsidR="00F84B86">
          <w:rPr>
            <w:noProof/>
            <w:webHidden/>
          </w:rPr>
          <w:tab/>
        </w:r>
        <w:r w:rsidR="00F84B86">
          <w:rPr>
            <w:noProof/>
            <w:webHidden/>
          </w:rPr>
          <w:fldChar w:fldCharType="begin"/>
        </w:r>
        <w:r w:rsidR="00F84B86">
          <w:rPr>
            <w:noProof/>
            <w:webHidden/>
          </w:rPr>
          <w:instrText xml:space="preserve"> PAGEREF _Toc17269009 \h </w:instrText>
        </w:r>
        <w:r w:rsidR="00F84B86">
          <w:rPr>
            <w:noProof/>
            <w:webHidden/>
          </w:rPr>
        </w:r>
        <w:r w:rsidR="00F84B86">
          <w:rPr>
            <w:noProof/>
            <w:webHidden/>
          </w:rPr>
          <w:fldChar w:fldCharType="separate"/>
        </w:r>
        <w:r>
          <w:rPr>
            <w:noProof/>
            <w:webHidden/>
          </w:rPr>
          <w:t>29</w:t>
        </w:r>
        <w:r w:rsidR="00F84B86">
          <w:rPr>
            <w:noProof/>
            <w:webHidden/>
          </w:rPr>
          <w:fldChar w:fldCharType="end"/>
        </w:r>
      </w:hyperlink>
    </w:p>
    <w:p w14:paraId="63E783E2" w14:textId="7DB45A0E" w:rsidR="00F84B86" w:rsidRDefault="00767843">
      <w:pPr>
        <w:pStyle w:val="TableofFigures"/>
        <w:tabs>
          <w:tab w:val="right" w:leader="dot" w:pos="9350"/>
        </w:tabs>
        <w:rPr>
          <w:rFonts w:asciiTheme="minorHAnsi" w:eastAsiaTheme="minorEastAsia" w:hAnsiTheme="minorHAnsi"/>
          <w:noProof/>
        </w:rPr>
      </w:pPr>
      <w:hyperlink w:anchor="_Toc17269010" w:history="1">
        <w:r w:rsidR="00F84B86" w:rsidRPr="00812142">
          <w:rPr>
            <w:rStyle w:val="Hyperlink"/>
            <w:noProof/>
          </w:rPr>
          <w:t>Figure IX.A.36. 8 aa) Measured and b) Modeled Chemical Composition of 24-hr PM</w:t>
        </w:r>
        <w:r w:rsidR="00F84B86" w:rsidRPr="00812142">
          <w:rPr>
            <w:rStyle w:val="Hyperlink"/>
            <w:noProof/>
            <w:vertAlign w:val="subscript"/>
          </w:rPr>
          <w:t>2.5</w:t>
        </w:r>
        <w:r w:rsidR="00F84B86" w:rsidRPr="00812142">
          <w:rPr>
            <w:rStyle w:val="Hyperlink"/>
            <w:noProof/>
          </w:rPr>
          <w:t xml:space="preserve"> in </w:t>
        </w:r>
        <w:r w:rsidR="00792B38">
          <w:rPr>
            <w:rStyle w:val="Hyperlink"/>
            <w:noProof/>
          </w:rPr>
          <w:t>µ</w:t>
        </w:r>
        <w:r w:rsidR="00F84B86" w:rsidRPr="00812142">
          <w:rPr>
            <w:rStyle w:val="Hyperlink"/>
            <w:noProof/>
          </w:rPr>
          <w:t>g/m</w:t>
        </w:r>
        <w:r w:rsidR="00F84B86" w:rsidRPr="00812142">
          <w:rPr>
            <w:rStyle w:val="Hyperlink"/>
            <w:noProof/>
            <w:vertAlign w:val="superscript"/>
          </w:rPr>
          <w:t>3</w:t>
        </w:r>
        <w:r w:rsidR="00F84B86" w:rsidRPr="00812142">
          <w:rPr>
            <w:rStyle w:val="Hyperlink"/>
            <w:noProof/>
          </w:rPr>
          <w:t xml:space="preserve"> and % of PM</w:t>
        </w:r>
        <w:r w:rsidR="00F84B86" w:rsidRPr="00812142">
          <w:rPr>
            <w:rStyle w:val="Hyperlink"/>
            <w:noProof/>
            <w:vertAlign w:val="subscript"/>
          </w:rPr>
          <w:t>2.5</w:t>
        </w:r>
        <w:r w:rsidR="00F84B86" w:rsidRPr="00812142">
          <w:rPr>
            <w:rStyle w:val="Hyperlink"/>
            <w:noProof/>
          </w:rPr>
          <w:t xml:space="preserve"> at Hawthorne Monitoring Station in SLC NAA on December 15, 2013</w:t>
        </w:r>
        <w:r w:rsidR="00F84B86">
          <w:rPr>
            <w:noProof/>
            <w:webHidden/>
          </w:rPr>
          <w:tab/>
        </w:r>
        <w:r w:rsidR="00F84B86">
          <w:rPr>
            <w:noProof/>
            <w:webHidden/>
          </w:rPr>
          <w:fldChar w:fldCharType="begin"/>
        </w:r>
        <w:r w:rsidR="00F84B86">
          <w:rPr>
            <w:noProof/>
            <w:webHidden/>
          </w:rPr>
          <w:instrText xml:space="preserve"> PAGEREF _Toc17269010 \h </w:instrText>
        </w:r>
        <w:r w:rsidR="00F84B86">
          <w:rPr>
            <w:noProof/>
            <w:webHidden/>
          </w:rPr>
        </w:r>
        <w:r w:rsidR="00F84B86">
          <w:rPr>
            <w:noProof/>
            <w:webHidden/>
          </w:rPr>
          <w:fldChar w:fldCharType="separate"/>
        </w:r>
        <w:r>
          <w:rPr>
            <w:noProof/>
            <w:webHidden/>
          </w:rPr>
          <w:t>30</w:t>
        </w:r>
        <w:r w:rsidR="00F84B86">
          <w:rPr>
            <w:noProof/>
            <w:webHidden/>
          </w:rPr>
          <w:fldChar w:fldCharType="end"/>
        </w:r>
      </w:hyperlink>
    </w:p>
    <w:p w14:paraId="43BB6D83" w14:textId="2AF7F769" w:rsidR="00F84B86" w:rsidRDefault="00767843">
      <w:pPr>
        <w:pStyle w:val="TableofFigures"/>
        <w:tabs>
          <w:tab w:val="right" w:leader="dot" w:pos="9350"/>
        </w:tabs>
        <w:rPr>
          <w:rFonts w:asciiTheme="minorHAnsi" w:eastAsiaTheme="minorEastAsia" w:hAnsiTheme="minorHAnsi"/>
          <w:noProof/>
        </w:rPr>
      </w:pPr>
      <w:hyperlink w:anchor="_Toc17269011" w:history="1">
        <w:r w:rsidR="00F84B86" w:rsidRPr="00812142">
          <w:rPr>
            <w:rStyle w:val="Hyperlink"/>
            <w:noProof/>
          </w:rPr>
          <w:t>Figure IX.A.36. 9 Measured and Modeled 24-hr PM</w:t>
        </w:r>
        <w:r w:rsidR="00F84B86" w:rsidRPr="00812142">
          <w:rPr>
            <w:rStyle w:val="Hyperlink"/>
            <w:noProof/>
            <w:vertAlign w:val="subscript"/>
          </w:rPr>
          <w:t>2.5</w:t>
        </w:r>
        <w:r w:rsidR="00F84B86" w:rsidRPr="00812142">
          <w:rPr>
            <w:rStyle w:val="Hyperlink"/>
            <w:noProof/>
          </w:rPr>
          <w:t xml:space="preserve"> Concentrations During February 1-16, 2016 at Hawthorne Monitoring Station in the SLC NAA</w:t>
        </w:r>
        <w:r w:rsidR="00F84B86">
          <w:rPr>
            <w:noProof/>
            <w:webHidden/>
          </w:rPr>
          <w:tab/>
        </w:r>
        <w:r w:rsidR="00F84B86">
          <w:rPr>
            <w:noProof/>
            <w:webHidden/>
          </w:rPr>
          <w:fldChar w:fldCharType="begin"/>
        </w:r>
        <w:r w:rsidR="00F84B86">
          <w:rPr>
            <w:noProof/>
            <w:webHidden/>
          </w:rPr>
          <w:instrText xml:space="preserve"> PAGEREF _Toc17269011 \h </w:instrText>
        </w:r>
        <w:r w:rsidR="00F84B86">
          <w:rPr>
            <w:noProof/>
            <w:webHidden/>
          </w:rPr>
        </w:r>
        <w:r w:rsidR="00F84B86">
          <w:rPr>
            <w:noProof/>
            <w:webHidden/>
          </w:rPr>
          <w:fldChar w:fldCharType="separate"/>
        </w:r>
        <w:r>
          <w:rPr>
            <w:noProof/>
            <w:webHidden/>
          </w:rPr>
          <w:t>31</w:t>
        </w:r>
        <w:r w:rsidR="00F84B86">
          <w:rPr>
            <w:noProof/>
            <w:webHidden/>
          </w:rPr>
          <w:fldChar w:fldCharType="end"/>
        </w:r>
      </w:hyperlink>
    </w:p>
    <w:p w14:paraId="08651076" w14:textId="45943533" w:rsidR="00F84B86" w:rsidRDefault="00767843">
      <w:pPr>
        <w:pStyle w:val="TableofFigures"/>
        <w:tabs>
          <w:tab w:val="right" w:leader="dot" w:pos="9350"/>
        </w:tabs>
        <w:rPr>
          <w:rFonts w:asciiTheme="minorHAnsi" w:eastAsiaTheme="minorEastAsia" w:hAnsiTheme="minorHAnsi"/>
          <w:noProof/>
        </w:rPr>
      </w:pPr>
      <w:hyperlink w:anchor="_Toc17269012" w:history="1">
        <w:r w:rsidR="00F84B86" w:rsidRPr="00812142">
          <w:rPr>
            <w:rStyle w:val="Hyperlink"/>
            <w:noProof/>
          </w:rPr>
          <w:t>Figure IX.A.36. 10 a) Measured and b) Modeled Chemical Composition of 24-hour PM</w:t>
        </w:r>
        <w:r w:rsidR="00F84B86" w:rsidRPr="00812142">
          <w:rPr>
            <w:rStyle w:val="Hyperlink"/>
            <w:noProof/>
            <w:vertAlign w:val="subscript"/>
          </w:rPr>
          <w:t>2.5</w:t>
        </w:r>
        <w:r w:rsidR="00F84B86" w:rsidRPr="00812142">
          <w:rPr>
            <w:rStyle w:val="Hyperlink"/>
            <w:noProof/>
          </w:rPr>
          <w:t xml:space="preserve"> in µg/m</w:t>
        </w:r>
        <w:r w:rsidR="00F84B86" w:rsidRPr="00812142">
          <w:rPr>
            <w:rStyle w:val="Hyperlink"/>
            <w:noProof/>
            <w:vertAlign w:val="superscript"/>
          </w:rPr>
          <w:t>3</w:t>
        </w:r>
        <w:r w:rsidR="00F84B86" w:rsidRPr="00812142">
          <w:rPr>
            <w:rStyle w:val="Hyperlink"/>
            <w:noProof/>
          </w:rPr>
          <w:t xml:space="preserve"> and % of PM</w:t>
        </w:r>
        <w:r w:rsidR="00F84B86" w:rsidRPr="00812142">
          <w:rPr>
            <w:rStyle w:val="Hyperlink"/>
            <w:noProof/>
            <w:vertAlign w:val="subscript"/>
          </w:rPr>
          <w:t>2.5</w:t>
        </w:r>
        <w:r w:rsidR="00F84B86" w:rsidRPr="00812142">
          <w:rPr>
            <w:rStyle w:val="Hyperlink"/>
            <w:noProof/>
          </w:rPr>
          <w:t xml:space="preserve"> at Bountiful monitoring Station on February 12, 2016</w:t>
        </w:r>
        <w:r w:rsidR="00F84B86">
          <w:rPr>
            <w:noProof/>
            <w:webHidden/>
          </w:rPr>
          <w:tab/>
        </w:r>
        <w:r w:rsidR="00F84B86">
          <w:rPr>
            <w:noProof/>
            <w:webHidden/>
          </w:rPr>
          <w:fldChar w:fldCharType="begin"/>
        </w:r>
        <w:r w:rsidR="00F84B86">
          <w:rPr>
            <w:noProof/>
            <w:webHidden/>
          </w:rPr>
          <w:instrText xml:space="preserve"> PAGEREF _Toc17269012 \h </w:instrText>
        </w:r>
        <w:r w:rsidR="00F84B86">
          <w:rPr>
            <w:noProof/>
            <w:webHidden/>
          </w:rPr>
        </w:r>
        <w:r w:rsidR="00F84B86">
          <w:rPr>
            <w:noProof/>
            <w:webHidden/>
          </w:rPr>
          <w:fldChar w:fldCharType="separate"/>
        </w:r>
        <w:r>
          <w:rPr>
            <w:noProof/>
            <w:webHidden/>
          </w:rPr>
          <w:t>31</w:t>
        </w:r>
        <w:r w:rsidR="00F84B86">
          <w:rPr>
            <w:noProof/>
            <w:webHidden/>
          </w:rPr>
          <w:fldChar w:fldCharType="end"/>
        </w:r>
      </w:hyperlink>
    </w:p>
    <w:p w14:paraId="2835387D" w14:textId="12D6754C" w:rsidR="00F84B86" w:rsidRDefault="00767843">
      <w:pPr>
        <w:pStyle w:val="TableofFigures"/>
        <w:tabs>
          <w:tab w:val="right" w:leader="dot" w:pos="9350"/>
        </w:tabs>
        <w:rPr>
          <w:rFonts w:asciiTheme="minorHAnsi" w:eastAsiaTheme="minorEastAsia" w:hAnsiTheme="minorHAnsi"/>
          <w:noProof/>
        </w:rPr>
      </w:pPr>
      <w:hyperlink w:anchor="_Toc17269013" w:history="1">
        <w:r w:rsidR="00F84B86" w:rsidRPr="00812142">
          <w:rPr>
            <w:rStyle w:val="Hyperlink"/>
            <w:noProof/>
          </w:rPr>
          <w:t>Figure IX.A.36. 11 Modeled versus measured 24-hr PM</w:t>
        </w:r>
        <w:r w:rsidR="00F84B86" w:rsidRPr="00812142">
          <w:rPr>
            <w:rStyle w:val="Hyperlink"/>
            <w:noProof/>
            <w:vertAlign w:val="subscript"/>
          </w:rPr>
          <w:t>2.5</w:t>
        </w:r>
        <w:r w:rsidR="00F84B86" w:rsidRPr="00812142">
          <w:rPr>
            <w:rStyle w:val="Hyperlink"/>
            <w:noProof/>
          </w:rPr>
          <w:t xml:space="preserve"> at Hawthorne monitoring station for each of the three modeling episodes: January 2011, December 2013 and February 2016. Dots represent each individual day of the modeling episode. Linear regression fits (dashed line) and equation are shown for each episode.</w:t>
        </w:r>
        <w:r w:rsidR="00F84B86">
          <w:rPr>
            <w:noProof/>
            <w:webHidden/>
          </w:rPr>
          <w:tab/>
        </w:r>
        <w:r w:rsidR="00F84B86">
          <w:rPr>
            <w:noProof/>
            <w:webHidden/>
          </w:rPr>
          <w:fldChar w:fldCharType="begin"/>
        </w:r>
        <w:r w:rsidR="00F84B86">
          <w:rPr>
            <w:noProof/>
            <w:webHidden/>
          </w:rPr>
          <w:instrText xml:space="preserve"> PAGEREF _Toc17269013 \h </w:instrText>
        </w:r>
        <w:r w:rsidR="00F84B86">
          <w:rPr>
            <w:noProof/>
            <w:webHidden/>
          </w:rPr>
        </w:r>
        <w:r w:rsidR="00F84B86">
          <w:rPr>
            <w:noProof/>
            <w:webHidden/>
          </w:rPr>
          <w:fldChar w:fldCharType="separate"/>
        </w:r>
        <w:r>
          <w:rPr>
            <w:noProof/>
            <w:webHidden/>
          </w:rPr>
          <w:t>33</w:t>
        </w:r>
        <w:r w:rsidR="00F84B86">
          <w:rPr>
            <w:noProof/>
            <w:webHidden/>
          </w:rPr>
          <w:fldChar w:fldCharType="end"/>
        </w:r>
      </w:hyperlink>
    </w:p>
    <w:p w14:paraId="1CC4E10A" w14:textId="73F40802" w:rsidR="00F84B86" w:rsidRDefault="00767843">
      <w:pPr>
        <w:pStyle w:val="TableofFigures"/>
        <w:tabs>
          <w:tab w:val="right" w:leader="dot" w:pos="9350"/>
        </w:tabs>
        <w:rPr>
          <w:rFonts w:asciiTheme="minorHAnsi" w:eastAsiaTheme="minorEastAsia" w:hAnsiTheme="minorHAnsi"/>
          <w:noProof/>
        </w:rPr>
      </w:pPr>
      <w:hyperlink w:anchor="_Toc17269014" w:history="1">
        <w:r w:rsidR="00F84B86" w:rsidRPr="00812142">
          <w:rPr>
            <w:rStyle w:val="Hyperlink"/>
            <w:noProof/>
          </w:rPr>
          <w:t>Figure IX.A.36. 12 Ten-day Time Series of Observed (black) and Modeled (red) 24-hr Average PM</w:t>
        </w:r>
        <w:r w:rsidR="00F84B86" w:rsidRPr="00812142">
          <w:rPr>
            <w:rStyle w:val="Hyperlink"/>
            <w:noProof/>
            <w:vertAlign w:val="subscript"/>
          </w:rPr>
          <w:t>2.5</w:t>
        </w:r>
        <w:r w:rsidR="00F84B86" w:rsidRPr="00812142">
          <w:rPr>
            <w:rStyle w:val="Hyperlink"/>
            <w:noProof/>
          </w:rPr>
          <w:t xml:space="preserve"> Concentrations During January 1-10, 2011 at Hawthorne Monitoring Station in the SLC NAA. Dashed Red Line is NAAQS for 24-hr PM</w:t>
        </w:r>
        <w:r w:rsidR="00F84B86" w:rsidRPr="00812142">
          <w:rPr>
            <w:rStyle w:val="Hyperlink"/>
            <w:noProof/>
            <w:vertAlign w:val="subscript"/>
          </w:rPr>
          <w:t>2.5</w:t>
        </w:r>
        <w:r w:rsidR="00F84B86">
          <w:rPr>
            <w:noProof/>
            <w:webHidden/>
          </w:rPr>
          <w:tab/>
        </w:r>
        <w:r w:rsidR="00F84B86">
          <w:rPr>
            <w:noProof/>
            <w:webHidden/>
          </w:rPr>
          <w:fldChar w:fldCharType="begin"/>
        </w:r>
        <w:r w:rsidR="00F84B86">
          <w:rPr>
            <w:noProof/>
            <w:webHidden/>
          </w:rPr>
          <w:instrText xml:space="preserve"> PAGEREF _Toc17269014 \h </w:instrText>
        </w:r>
        <w:r w:rsidR="00F84B86">
          <w:rPr>
            <w:noProof/>
            <w:webHidden/>
          </w:rPr>
        </w:r>
        <w:r w:rsidR="00F84B86">
          <w:rPr>
            <w:noProof/>
            <w:webHidden/>
          </w:rPr>
          <w:fldChar w:fldCharType="separate"/>
        </w:r>
        <w:r>
          <w:rPr>
            <w:noProof/>
            <w:webHidden/>
          </w:rPr>
          <w:t>34</w:t>
        </w:r>
        <w:r w:rsidR="00F84B86">
          <w:rPr>
            <w:noProof/>
            <w:webHidden/>
          </w:rPr>
          <w:fldChar w:fldCharType="end"/>
        </w:r>
      </w:hyperlink>
    </w:p>
    <w:p w14:paraId="47F9F700" w14:textId="1533FBC2" w:rsidR="00F84B86" w:rsidRDefault="00767843">
      <w:pPr>
        <w:pStyle w:val="TableofFigures"/>
        <w:tabs>
          <w:tab w:val="right" w:leader="dot" w:pos="9350"/>
        </w:tabs>
        <w:rPr>
          <w:rFonts w:asciiTheme="minorHAnsi" w:eastAsiaTheme="minorEastAsia" w:hAnsiTheme="minorHAnsi"/>
          <w:noProof/>
        </w:rPr>
      </w:pPr>
      <w:hyperlink w:anchor="_Toc17269015" w:history="1">
        <w:r w:rsidR="00F84B86" w:rsidRPr="00812142">
          <w:rPr>
            <w:rStyle w:val="Hyperlink"/>
            <w:noProof/>
          </w:rPr>
          <w:t xml:space="preserve">Figure IX.A.36. 13 a) Measured and b) Modeled Species Contribution (in </w:t>
        </w:r>
        <w:r w:rsidR="00792B38">
          <w:rPr>
            <w:rStyle w:val="Hyperlink"/>
            <w:noProof/>
          </w:rPr>
          <w:t>µ</w:t>
        </w:r>
        <w:r w:rsidR="00F84B86" w:rsidRPr="00812142">
          <w:rPr>
            <w:rStyle w:val="Hyperlink"/>
            <w:noProof/>
          </w:rPr>
          <w:t>g/m</w:t>
        </w:r>
        <w:r w:rsidR="00F84B86" w:rsidRPr="00812142">
          <w:rPr>
            <w:rStyle w:val="Hyperlink"/>
            <w:noProof/>
            <w:vertAlign w:val="superscript"/>
          </w:rPr>
          <w:t>3</w:t>
        </w:r>
        <w:r w:rsidR="00F84B86" w:rsidRPr="00812142">
          <w:rPr>
            <w:rStyle w:val="Hyperlink"/>
            <w:noProof/>
          </w:rPr>
          <w:t xml:space="preserve"> and %) to PM</w:t>
        </w:r>
        <w:r w:rsidR="00F84B86" w:rsidRPr="00812142">
          <w:rPr>
            <w:rStyle w:val="Hyperlink"/>
            <w:noProof/>
            <w:vertAlign w:val="subscript"/>
          </w:rPr>
          <w:t>2.5</w:t>
        </w:r>
        <w:r w:rsidR="00F84B86" w:rsidRPr="00812142">
          <w:rPr>
            <w:rStyle w:val="Hyperlink"/>
            <w:noProof/>
          </w:rPr>
          <w:t xml:space="preserve"> at Hawthorne Monitoring Station in the SLC NAA during a typical 24-hr PM</w:t>
        </w:r>
        <w:r w:rsidR="00F84B86" w:rsidRPr="00812142">
          <w:rPr>
            <w:rStyle w:val="Hyperlink"/>
            <w:noProof/>
            <w:vertAlign w:val="subscript"/>
          </w:rPr>
          <w:t>2.5</w:t>
        </w:r>
        <w:r w:rsidR="00F84B86" w:rsidRPr="00812142">
          <w:rPr>
            <w:rStyle w:val="Hyperlink"/>
            <w:noProof/>
          </w:rPr>
          <w:t xml:space="preserve"> exceedance day</w:t>
        </w:r>
        <w:r w:rsidR="00F84B86">
          <w:rPr>
            <w:noProof/>
            <w:webHidden/>
          </w:rPr>
          <w:tab/>
        </w:r>
        <w:r w:rsidR="00F84B86">
          <w:rPr>
            <w:noProof/>
            <w:webHidden/>
          </w:rPr>
          <w:fldChar w:fldCharType="begin"/>
        </w:r>
        <w:r w:rsidR="00F84B86">
          <w:rPr>
            <w:noProof/>
            <w:webHidden/>
          </w:rPr>
          <w:instrText xml:space="preserve"> PAGEREF _Toc17269015 \h </w:instrText>
        </w:r>
        <w:r w:rsidR="00F84B86">
          <w:rPr>
            <w:noProof/>
            <w:webHidden/>
          </w:rPr>
        </w:r>
        <w:r w:rsidR="00F84B86">
          <w:rPr>
            <w:noProof/>
            <w:webHidden/>
          </w:rPr>
          <w:fldChar w:fldCharType="separate"/>
        </w:r>
        <w:r>
          <w:rPr>
            <w:noProof/>
            <w:webHidden/>
          </w:rPr>
          <w:t>35</w:t>
        </w:r>
        <w:r w:rsidR="00F84B86">
          <w:rPr>
            <w:noProof/>
            <w:webHidden/>
          </w:rPr>
          <w:fldChar w:fldCharType="end"/>
        </w:r>
      </w:hyperlink>
    </w:p>
    <w:p w14:paraId="5B85A7F2" w14:textId="7B24DEFE" w:rsidR="00F84B86" w:rsidRDefault="00767843">
      <w:pPr>
        <w:pStyle w:val="TableofFigures"/>
        <w:tabs>
          <w:tab w:val="right" w:leader="dot" w:pos="9350"/>
        </w:tabs>
        <w:rPr>
          <w:rFonts w:asciiTheme="minorHAnsi" w:eastAsiaTheme="minorEastAsia" w:hAnsiTheme="minorHAnsi"/>
          <w:noProof/>
        </w:rPr>
      </w:pPr>
      <w:hyperlink w:anchor="_Toc17269016" w:history="1">
        <w:r w:rsidR="00F84B86" w:rsidRPr="00812142">
          <w:rPr>
            <w:rStyle w:val="Hyperlink"/>
            <w:noProof/>
          </w:rPr>
          <w:t>Figure IX.A.36. 14</w:t>
        </w:r>
        <w:r w:rsidR="00F84B86" w:rsidRPr="00812142">
          <w:rPr>
            <w:rStyle w:val="Hyperlink"/>
            <w:noProof/>
            <w:lang w:val="en"/>
          </w:rPr>
          <w:t xml:space="preserve"> Hourly Time Series of Modeled Ammonia (ppb) at Hawthorne and Neil Armstrong Academy during January 1 – 10, 2011</w:t>
        </w:r>
        <w:r w:rsidR="00F84B86">
          <w:rPr>
            <w:noProof/>
            <w:webHidden/>
          </w:rPr>
          <w:tab/>
        </w:r>
        <w:r w:rsidR="00F84B86">
          <w:rPr>
            <w:noProof/>
            <w:webHidden/>
          </w:rPr>
          <w:fldChar w:fldCharType="begin"/>
        </w:r>
        <w:r w:rsidR="00F84B86">
          <w:rPr>
            <w:noProof/>
            <w:webHidden/>
          </w:rPr>
          <w:instrText xml:space="preserve"> PAGEREF _Toc17269016 \h </w:instrText>
        </w:r>
        <w:r w:rsidR="00F84B86">
          <w:rPr>
            <w:noProof/>
            <w:webHidden/>
          </w:rPr>
        </w:r>
        <w:r w:rsidR="00F84B86">
          <w:rPr>
            <w:noProof/>
            <w:webHidden/>
          </w:rPr>
          <w:fldChar w:fldCharType="separate"/>
        </w:r>
        <w:r>
          <w:rPr>
            <w:noProof/>
            <w:webHidden/>
          </w:rPr>
          <w:t>36</w:t>
        </w:r>
        <w:r w:rsidR="00F84B86">
          <w:rPr>
            <w:noProof/>
            <w:webHidden/>
          </w:rPr>
          <w:fldChar w:fldCharType="end"/>
        </w:r>
      </w:hyperlink>
    </w:p>
    <w:p w14:paraId="3188CCCD" w14:textId="1CCCE216" w:rsidR="00F84B86" w:rsidRDefault="00767843">
      <w:pPr>
        <w:pStyle w:val="TableofFigures"/>
        <w:tabs>
          <w:tab w:val="right" w:leader="dot" w:pos="9350"/>
        </w:tabs>
        <w:rPr>
          <w:rFonts w:asciiTheme="minorHAnsi" w:eastAsiaTheme="minorEastAsia" w:hAnsiTheme="minorHAnsi"/>
          <w:noProof/>
        </w:rPr>
      </w:pPr>
      <w:hyperlink w:anchor="_Toc17269017" w:history="1">
        <w:r w:rsidR="00F84B86" w:rsidRPr="00812142">
          <w:rPr>
            <w:rStyle w:val="Hyperlink"/>
            <w:noProof/>
          </w:rPr>
          <w:t>Figure IX.A.36. 15 Hourly M</w:t>
        </w:r>
        <w:r w:rsidR="00F84B86" w:rsidRPr="00812142">
          <w:rPr>
            <w:rStyle w:val="Hyperlink"/>
            <w:noProof/>
            <w:lang w:val="en"/>
          </w:rPr>
          <w:t>easured Ammonia on y-axis (ppb) at Neil Armstrong Academy in the SLC NAA during January – February 2016. Note that ammonia drops during the PCAP of Feb. 7-14, 2016.</w:t>
        </w:r>
        <w:r w:rsidR="00F84B86">
          <w:rPr>
            <w:noProof/>
            <w:webHidden/>
          </w:rPr>
          <w:tab/>
        </w:r>
        <w:r w:rsidR="00F84B86">
          <w:rPr>
            <w:noProof/>
            <w:webHidden/>
          </w:rPr>
          <w:fldChar w:fldCharType="begin"/>
        </w:r>
        <w:r w:rsidR="00F84B86">
          <w:rPr>
            <w:noProof/>
            <w:webHidden/>
          </w:rPr>
          <w:instrText xml:space="preserve"> PAGEREF _Toc17269017 \h </w:instrText>
        </w:r>
        <w:r w:rsidR="00F84B86">
          <w:rPr>
            <w:noProof/>
            <w:webHidden/>
          </w:rPr>
        </w:r>
        <w:r w:rsidR="00F84B86">
          <w:rPr>
            <w:noProof/>
            <w:webHidden/>
          </w:rPr>
          <w:fldChar w:fldCharType="separate"/>
        </w:r>
        <w:r>
          <w:rPr>
            <w:noProof/>
            <w:webHidden/>
          </w:rPr>
          <w:t>37</w:t>
        </w:r>
        <w:r w:rsidR="00F84B86">
          <w:rPr>
            <w:noProof/>
            <w:webHidden/>
          </w:rPr>
          <w:fldChar w:fldCharType="end"/>
        </w:r>
      </w:hyperlink>
    </w:p>
    <w:p w14:paraId="075AFA3E" w14:textId="185966C8" w:rsidR="002F642A" w:rsidRDefault="00A81577" w:rsidP="002F642A">
      <w:r>
        <w:fldChar w:fldCharType="end"/>
      </w:r>
    </w:p>
    <w:p w14:paraId="483ED8FE" w14:textId="77777777" w:rsidR="002F642A" w:rsidRDefault="002F642A" w:rsidP="002F642A"/>
    <w:p w14:paraId="2E175227" w14:textId="77777777" w:rsidR="00B77FC2" w:rsidRDefault="00B77FC2">
      <w:r>
        <w:br w:type="page"/>
      </w:r>
    </w:p>
    <w:p w14:paraId="4FB77FC1" w14:textId="77777777" w:rsidR="002F642A" w:rsidRPr="00B77FC2" w:rsidRDefault="00B77FC2" w:rsidP="00B77FC2">
      <w:pPr>
        <w:rPr>
          <w:rFonts w:ascii="Arial" w:hAnsi="Arial" w:cs="Arial"/>
          <w:b/>
          <w:sz w:val="28"/>
          <w:szCs w:val="28"/>
        </w:rPr>
      </w:pPr>
      <w:r w:rsidRPr="00B77FC2">
        <w:rPr>
          <w:rFonts w:ascii="Arial" w:hAnsi="Arial" w:cs="Arial"/>
          <w:b/>
          <w:sz w:val="28"/>
          <w:szCs w:val="28"/>
        </w:rPr>
        <w:lastRenderedPageBreak/>
        <w:t>List of Acronyms and Abbreviations</w:t>
      </w:r>
    </w:p>
    <w:p w14:paraId="4DACE3EE" w14:textId="77777777" w:rsidR="007F78B3" w:rsidRPr="00B77FC2" w:rsidRDefault="007F78B3" w:rsidP="007F78B3">
      <w:pPr>
        <w:spacing w:after="0"/>
        <w:rPr>
          <w:rFonts w:ascii="Arial" w:hAnsi="Arial" w:cs="Arial"/>
          <w:sz w:val="20"/>
          <w:szCs w:val="20"/>
        </w:rPr>
      </w:pPr>
      <w:r>
        <w:rPr>
          <w:rFonts w:ascii="Arial" w:hAnsi="Arial" w:cs="Arial"/>
          <w:sz w:val="20"/>
          <w:szCs w:val="20"/>
        </w:rPr>
        <w:t>BACM</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B</w:t>
      </w:r>
      <w:r>
        <w:rPr>
          <w:rFonts w:ascii="Arial" w:hAnsi="Arial" w:cs="Arial"/>
          <w:sz w:val="20"/>
          <w:szCs w:val="20"/>
        </w:rPr>
        <w:t>est Available Control Measure</w:t>
      </w:r>
    </w:p>
    <w:p w14:paraId="7CB112F9"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BACT </w:t>
      </w:r>
      <w:r w:rsidRPr="00B77FC2">
        <w:rPr>
          <w:rFonts w:ascii="Arial" w:hAnsi="Arial" w:cs="Arial"/>
          <w:sz w:val="20"/>
          <w:szCs w:val="20"/>
        </w:rPr>
        <w:tab/>
      </w:r>
      <w:r w:rsidRPr="00B77FC2">
        <w:rPr>
          <w:rFonts w:ascii="Arial" w:hAnsi="Arial" w:cs="Arial"/>
          <w:sz w:val="20"/>
          <w:szCs w:val="20"/>
        </w:rPr>
        <w:tab/>
        <w:t>Best Available Control Technology</w:t>
      </w:r>
    </w:p>
    <w:p w14:paraId="6056F115" w14:textId="153A41C8" w:rsidR="003D0BAC" w:rsidRDefault="003D0BAC" w:rsidP="00B77FC2">
      <w:pPr>
        <w:spacing w:after="0"/>
        <w:rPr>
          <w:rFonts w:ascii="Arial" w:hAnsi="Arial" w:cs="Arial"/>
          <w:sz w:val="20"/>
          <w:szCs w:val="20"/>
        </w:rPr>
      </w:pPr>
      <w:r>
        <w:rPr>
          <w:rFonts w:ascii="Arial" w:hAnsi="Arial" w:cs="Arial"/>
          <w:sz w:val="20"/>
          <w:szCs w:val="20"/>
        </w:rPr>
        <w:t>BDV</w:t>
      </w:r>
      <w:r>
        <w:rPr>
          <w:rFonts w:ascii="Arial" w:hAnsi="Arial" w:cs="Arial"/>
          <w:sz w:val="20"/>
          <w:szCs w:val="20"/>
        </w:rPr>
        <w:tab/>
      </w:r>
      <w:r>
        <w:rPr>
          <w:rFonts w:ascii="Arial" w:hAnsi="Arial" w:cs="Arial"/>
          <w:sz w:val="20"/>
          <w:szCs w:val="20"/>
        </w:rPr>
        <w:tab/>
        <w:t>Base Design Value</w:t>
      </w:r>
    </w:p>
    <w:p w14:paraId="3031E1C7" w14:textId="48AAED1B" w:rsidR="00B77FC2" w:rsidRDefault="00B77FC2" w:rsidP="00B77FC2">
      <w:pPr>
        <w:spacing w:after="0"/>
        <w:rPr>
          <w:rFonts w:ascii="Arial" w:hAnsi="Arial" w:cs="Arial"/>
          <w:sz w:val="20"/>
          <w:szCs w:val="20"/>
        </w:rPr>
      </w:pPr>
      <w:r w:rsidRPr="00B77FC2">
        <w:rPr>
          <w:rFonts w:ascii="Arial" w:hAnsi="Arial" w:cs="Arial"/>
          <w:sz w:val="20"/>
          <w:szCs w:val="20"/>
        </w:rPr>
        <w:t xml:space="preserve">CAA </w:t>
      </w:r>
      <w:r w:rsidRPr="00B77FC2">
        <w:rPr>
          <w:rFonts w:ascii="Arial" w:hAnsi="Arial" w:cs="Arial"/>
          <w:sz w:val="20"/>
          <w:szCs w:val="20"/>
        </w:rPr>
        <w:tab/>
      </w:r>
      <w:r w:rsidRPr="00B77FC2">
        <w:rPr>
          <w:rFonts w:ascii="Arial" w:hAnsi="Arial" w:cs="Arial"/>
          <w:sz w:val="20"/>
          <w:szCs w:val="20"/>
        </w:rPr>
        <w:tab/>
        <w:t>Clean Air Act</w:t>
      </w:r>
    </w:p>
    <w:p w14:paraId="04AF6AEF" w14:textId="77777777" w:rsidR="00A31A76" w:rsidRPr="00B77FC2" w:rsidRDefault="00A31A76" w:rsidP="00B77FC2">
      <w:pPr>
        <w:spacing w:after="0"/>
        <w:rPr>
          <w:rFonts w:ascii="Arial" w:hAnsi="Arial" w:cs="Arial"/>
          <w:sz w:val="20"/>
          <w:szCs w:val="20"/>
        </w:rPr>
      </w:pPr>
      <w:r>
        <w:rPr>
          <w:rFonts w:ascii="Arial" w:hAnsi="Arial" w:cs="Arial"/>
          <w:sz w:val="20"/>
          <w:szCs w:val="20"/>
        </w:rPr>
        <w:t>CDD</w:t>
      </w:r>
      <w:r>
        <w:rPr>
          <w:rFonts w:ascii="Arial" w:hAnsi="Arial" w:cs="Arial"/>
          <w:sz w:val="20"/>
          <w:szCs w:val="20"/>
        </w:rPr>
        <w:tab/>
      </w:r>
      <w:r>
        <w:rPr>
          <w:rFonts w:ascii="Arial" w:hAnsi="Arial" w:cs="Arial"/>
          <w:sz w:val="20"/>
          <w:szCs w:val="20"/>
        </w:rPr>
        <w:tab/>
        <w:t>Clean Data Determination</w:t>
      </w:r>
    </w:p>
    <w:p w14:paraId="58A60BEB"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CFR </w:t>
      </w:r>
      <w:r w:rsidRPr="00B77FC2">
        <w:rPr>
          <w:rFonts w:ascii="Arial" w:hAnsi="Arial" w:cs="Arial"/>
          <w:sz w:val="20"/>
          <w:szCs w:val="20"/>
        </w:rPr>
        <w:tab/>
      </w:r>
      <w:r w:rsidRPr="00B77FC2">
        <w:rPr>
          <w:rFonts w:ascii="Arial" w:hAnsi="Arial" w:cs="Arial"/>
          <w:sz w:val="20"/>
          <w:szCs w:val="20"/>
        </w:rPr>
        <w:tab/>
        <w:t>Code of Federal Regulations</w:t>
      </w:r>
    </w:p>
    <w:p w14:paraId="75241FF1" w14:textId="77777777" w:rsidR="00B77FC2" w:rsidRPr="00B77FC2" w:rsidRDefault="00B77FC2" w:rsidP="00B77FC2">
      <w:pPr>
        <w:spacing w:after="0"/>
        <w:rPr>
          <w:rFonts w:ascii="Arial" w:hAnsi="Arial" w:cs="Arial"/>
          <w:sz w:val="20"/>
          <w:szCs w:val="20"/>
          <w:vertAlign w:val="subscript"/>
        </w:rPr>
      </w:pPr>
      <w:r w:rsidRPr="00B77FC2">
        <w:rPr>
          <w:rFonts w:ascii="Arial" w:hAnsi="Arial" w:cs="Arial"/>
          <w:sz w:val="20"/>
          <w:szCs w:val="20"/>
        </w:rPr>
        <w:t>CAMx</w:t>
      </w:r>
      <w:r w:rsidRPr="00B77FC2">
        <w:rPr>
          <w:rFonts w:ascii="Arial" w:hAnsi="Arial" w:cs="Arial"/>
          <w:sz w:val="20"/>
          <w:szCs w:val="20"/>
        </w:rPr>
        <w:tab/>
      </w:r>
      <w:r w:rsidRPr="00B77FC2">
        <w:rPr>
          <w:rFonts w:ascii="Arial" w:hAnsi="Arial" w:cs="Arial"/>
          <w:sz w:val="20"/>
          <w:szCs w:val="20"/>
        </w:rPr>
        <w:tab/>
        <w:t>Comprehensive Air Quality Model with Extensions</w:t>
      </w:r>
    </w:p>
    <w:p w14:paraId="05EA5E22"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DAQ </w:t>
      </w:r>
      <w:r w:rsidRPr="00B77FC2">
        <w:rPr>
          <w:rFonts w:ascii="Arial" w:hAnsi="Arial" w:cs="Arial"/>
          <w:sz w:val="20"/>
          <w:szCs w:val="20"/>
        </w:rPr>
        <w:tab/>
      </w:r>
      <w:r w:rsidRPr="00B77FC2">
        <w:rPr>
          <w:rFonts w:ascii="Arial" w:hAnsi="Arial" w:cs="Arial"/>
          <w:sz w:val="20"/>
          <w:szCs w:val="20"/>
        </w:rPr>
        <w:tab/>
        <w:t>Utah Division of Air Quality (also UDAQ)</w:t>
      </w:r>
    </w:p>
    <w:p w14:paraId="0B2A0251" w14:textId="77777777" w:rsidR="00B77FC2" w:rsidRDefault="00B77FC2" w:rsidP="00B77FC2">
      <w:pPr>
        <w:spacing w:after="0"/>
        <w:rPr>
          <w:rFonts w:ascii="Arial" w:hAnsi="Arial" w:cs="Arial"/>
          <w:sz w:val="20"/>
          <w:szCs w:val="20"/>
        </w:rPr>
      </w:pPr>
      <w:r w:rsidRPr="00B77FC2">
        <w:rPr>
          <w:rFonts w:ascii="Arial" w:hAnsi="Arial" w:cs="Arial"/>
          <w:sz w:val="20"/>
          <w:szCs w:val="20"/>
        </w:rPr>
        <w:t xml:space="preserve">EPA </w:t>
      </w:r>
      <w:r w:rsidRPr="00B77FC2">
        <w:rPr>
          <w:rFonts w:ascii="Arial" w:hAnsi="Arial" w:cs="Arial"/>
          <w:sz w:val="20"/>
          <w:szCs w:val="20"/>
        </w:rPr>
        <w:tab/>
      </w:r>
      <w:r w:rsidRPr="00B77FC2">
        <w:rPr>
          <w:rFonts w:ascii="Arial" w:hAnsi="Arial" w:cs="Arial"/>
          <w:sz w:val="20"/>
          <w:szCs w:val="20"/>
        </w:rPr>
        <w:tab/>
        <w:t>Environmental Protection Agency</w:t>
      </w:r>
    </w:p>
    <w:p w14:paraId="0B76B0CE" w14:textId="5182CE22" w:rsidR="00DE7B90" w:rsidRDefault="00DE7B90" w:rsidP="00B77FC2">
      <w:pPr>
        <w:spacing w:after="0"/>
        <w:rPr>
          <w:rFonts w:ascii="Arial" w:hAnsi="Arial" w:cs="Arial"/>
          <w:sz w:val="20"/>
          <w:szCs w:val="20"/>
        </w:rPr>
      </w:pPr>
      <w:r>
        <w:rPr>
          <w:rFonts w:ascii="Arial" w:hAnsi="Arial" w:cs="Arial"/>
          <w:sz w:val="20"/>
          <w:szCs w:val="20"/>
        </w:rPr>
        <w:t>FDV</w:t>
      </w:r>
      <w:r>
        <w:rPr>
          <w:rFonts w:ascii="Arial" w:hAnsi="Arial" w:cs="Arial"/>
          <w:sz w:val="20"/>
          <w:szCs w:val="20"/>
        </w:rPr>
        <w:tab/>
      </w:r>
      <w:r>
        <w:rPr>
          <w:rFonts w:ascii="Arial" w:hAnsi="Arial" w:cs="Arial"/>
          <w:sz w:val="20"/>
          <w:szCs w:val="20"/>
        </w:rPr>
        <w:tab/>
        <w:t>Future Design Value</w:t>
      </w:r>
    </w:p>
    <w:p w14:paraId="65A7873C" w14:textId="1342F9D2" w:rsidR="003A7D0D" w:rsidRDefault="003A7D0D" w:rsidP="00B77FC2">
      <w:pPr>
        <w:spacing w:after="0"/>
        <w:rPr>
          <w:rFonts w:ascii="Arial" w:hAnsi="Arial" w:cs="Arial"/>
          <w:sz w:val="20"/>
          <w:szCs w:val="20"/>
        </w:rPr>
      </w:pPr>
      <w:r>
        <w:rPr>
          <w:rFonts w:ascii="Arial" w:hAnsi="Arial" w:cs="Arial"/>
          <w:sz w:val="20"/>
          <w:szCs w:val="20"/>
        </w:rPr>
        <w:t>FR</w:t>
      </w:r>
      <w:r>
        <w:rPr>
          <w:rFonts w:ascii="Arial" w:hAnsi="Arial" w:cs="Arial"/>
          <w:sz w:val="20"/>
          <w:szCs w:val="20"/>
        </w:rPr>
        <w:tab/>
      </w:r>
      <w:r>
        <w:rPr>
          <w:rFonts w:ascii="Arial" w:hAnsi="Arial" w:cs="Arial"/>
          <w:sz w:val="20"/>
          <w:szCs w:val="20"/>
        </w:rPr>
        <w:tab/>
        <w:t>Federal Register</w:t>
      </w:r>
    </w:p>
    <w:p w14:paraId="66FBF045" w14:textId="77777777" w:rsidR="00447FEF" w:rsidRPr="00B77FC2" w:rsidRDefault="00447FEF" w:rsidP="00B77FC2">
      <w:pPr>
        <w:spacing w:after="0"/>
        <w:rPr>
          <w:rFonts w:ascii="Arial" w:hAnsi="Arial" w:cs="Arial"/>
          <w:sz w:val="20"/>
          <w:szCs w:val="20"/>
        </w:rPr>
      </w:pPr>
      <w:r>
        <w:rPr>
          <w:rFonts w:ascii="Arial" w:hAnsi="Arial" w:cs="Arial"/>
          <w:sz w:val="20"/>
          <w:szCs w:val="20"/>
        </w:rPr>
        <w:t>MOVES</w:t>
      </w:r>
      <w:r>
        <w:rPr>
          <w:rFonts w:ascii="Arial" w:hAnsi="Arial" w:cs="Arial"/>
          <w:sz w:val="20"/>
          <w:szCs w:val="20"/>
        </w:rPr>
        <w:tab/>
        <w:t>Motor Vehicle Emission Simulator</w:t>
      </w:r>
    </w:p>
    <w:p w14:paraId="6A3D8159"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MPO</w:t>
      </w:r>
      <w:r w:rsidRPr="00B77FC2">
        <w:rPr>
          <w:rFonts w:ascii="Arial" w:hAnsi="Arial" w:cs="Arial"/>
          <w:sz w:val="20"/>
          <w:szCs w:val="20"/>
        </w:rPr>
        <w:tab/>
      </w:r>
      <w:r w:rsidRPr="00B77FC2">
        <w:rPr>
          <w:rFonts w:ascii="Arial" w:hAnsi="Arial" w:cs="Arial"/>
          <w:sz w:val="20"/>
          <w:szCs w:val="20"/>
        </w:rPr>
        <w:tab/>
        <w:t>Metropolitan Planning Organization</w:t>
      </w:r>
    </w:p>
    <w:p w14:paraId="54981DF4" w14:textId="77777777" w:rsidR="00B77FC2" w:rsidRPr="00E7382C" w:rsidRDefault="00B77FC2" w:rsidP="00B77FC2">
      <w:pPr>
        <w:spacing w:after="0"/>
        <w:rPr>
          <w:rFonts w:ascii="Arial" w:hAnsi="Arial" w:cs="Arial"/>
          <w:sz w:val="20"/>
          <w:szCs w:val="20"/>
        </w:rPr>
      </w:pPr>
      <w:r w:rsidRPr="00E7382C">
        <w:rPr>
          <w:rFonts w:ascii="Arial" w:hAnsi="Arial" w:cs="Arial"/>
          <w:sz w:val="20"/>
          <w:szCs w:val="20"/>
        </w:rPr>
        <w:t>MVEB</w:t>
      </w:r>
      <w:r w:rsidRPr="00E7382C">
        <w:rPr>
          <w:rFonts w:ascii="Arial" w:hAnsi="Arial" w:cs="Arial"/>
          <w:sz w:val="20"/>
          <w:szCs w:val="20"/>
        </w:rPr>
        <w:tab/>
      </w:r>
      <w:r w:rsidRPr="00E7382C">
        <w:rPr>
          <w:rFonts w:ascii="Arial" w:hAnsi="Arial" w:cs="Arial"/>
          <w:sz w:val="20"/>
          <w:szCs w:val="20"/>
        </w:rPr>
        <w:tab/>
        <w:t>Motor Vehicle Emissions Budget</w:t>
      </w:r>
    </w:p>
    <w:p w14:paraId="6AC205AF"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μg/m</w:t>
      </w:r>
      <w:r w:rsidRPr="00B77FC2">
        <w:rPr>
          <w:rFonts w:ascii="Arial" w:hAnsi="Arial" w:cs="Arial"/>
          <w:sz w:val="20"/>
          <w:szCs w:val="20"/>
          <w:vertAlign w:val="superscript"/>
        </w:rPr>
        <w:t>3</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Micrograms Per Cubic Meter</w:t>
      </w:r>
    </w:p>
    <w:p w14:paraId="306107EE"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Micron </w:t>
      </w:r>
      <w:r w:rsidRPr="00B77FC2">
        <w:rPr>
          <w:rFonts w:ascii="Arial" w:hAnsi="Arial" w:cs="Arial"/>
          <w:sz w:val="20"/>
          <w:szCs w:val="20"/>
        </w:rPr>
        <w:tab/>
      </w:r>
      <w:r w:rsidRPr="00B77FC2">
        <w:rPr>
          <w:rFonts w:ascii="Arial" w:hAnsi="Arial" w:cs="Arial"/>
          <w:sz w:val="20"/>
          <w:szCs w:val="20"/>
        </w:rPr>
        <w:tab/>
        <w:t>One Millionth of a Meter</w:t>
      </w:r>
    </w:p>
    <w:p w14:paraId="157A0AE2"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NAAQS </w:t>
      </w:r>
      <w:r w:rsidRPr="00B77FC2">
        <w:rPr>
          <w:rFonts w:ascii="Arial" w:hAnsi="Arial" w:cs="Arial"/>
          <w:sz w:val="20"/>
          <w:szCs w:val="20"/>
        </w:rPr>
        <w:tab/>
        <w:t>National Ambient Air Quality Standards</w:t>
      </w:r>
    </w:p>
    <w:p w14:paraId="06003647"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NH</w:t>
      </w:r>
      <w:r w:rsidRPr="00B77FC2">
        <w:rPr>
          <w:rFonts w:ascii="Arial" w:hAnsi="Arial" w:cs="Arial"/>
          <w:sz w:val="20"/>
          <w:szCs w:val="20"/>
          <w:vertAlign w:val="subscript"/>
        </w:rPr>
        <w:t>3</w:t>
      </w:r>
      <w:r w:rsidRPr="00B77FC2">
        <w:rPr>
          <w:rFonts w:ascii="Arial" w:hAnsi="Arial" w:cs="Arial"/>
          <w:sz w:val="20"/>
          <w:szCs w:val="20"/>
        </w:rPr>
        <w:tab/>
      </w:r>
      <w:r w:rsidRPr="00B77FC2">
        <w:rPr>
          <w:rFonts w:ascii="Arial" w:hAnsi="Arial" w:cs="Arial"/>
          <w:sz w:val="20"/>
          <w:szCs w:val="20"/>
        </w:rPr>
        <w:tab/>
        <w:t>Ammonia</w:t>
      </w:r>
    </w:p>
    <w:p w14:paraId="512F01C8"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NO</w:t>
      </w:r>
      <w:r w:rsidRPr="00B77FC2">
        <w:rPr>
          <w:rFonts w:ascii="Arial" w:hAnsi="Arial" w:cs="Arial"/>
          <w:sz w:val="20"/>
          <w:szCs w:val="20"/>
          <w:vertAlign w:val="subscript"/>
        </w:rPr>
        <w:t>x</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Nitrogen Oxides</w:t>
      </w:r>
    </w:p>
    <w:p w14:paraId="13643425" w14:textId="77777777" w:rsidR="00B77FC2" w:rsidRPr="00B77FC2" w:rsidRDefault="00063BEA" w:rsidP="00B77FC2">
      <w:pPr>
        <w:spacing w:after="0"/>
        <w:rPr>
          <w:rFonts w:ascii="Arial" w:hAnsi="Arial" w:cs="Arial"/>
          <w:sz w:val="20"/>
          <w:szCs w:val="20"/>
        </w:rPr>
      </w:pPr>
      <w:r>
        <w:rPr>
          <w:rFonts w:ascii="Arial" w:hAnsi="Arial" w:cs="Arial"/>
          <w:sz w:val="20"/>
          <w:szCs w:val="20"/>
        </w:rPr>
        <w:t>N</w:t>
      </w:r>
      <w:r w:rsidR="00B77FC2" w:rsidRPr="00B77FC2">
        <w:rPr>
          <w:rFonts w:ascii="Arial" w:hAnsi="Arial" w:cs="Arial"/>
          <w:sz w:val="20"/>
          <w:szCs w:val="20"/>
        </w:rPr>
        <w:t xml:space="preserve">NSR </w:t>
      </w:r>
      <w:r w:rsidR="00B77FC2" w:rsidRPr="00B77FC2">
        <w:rPr>
          <w:rFonts w:ascii="Arial" w:hAnsi="Arial" w:cs="Arial"/>
          <w:sz w:val="20"/>
          <w:szCs w:val="20"/>
        </w:rPr>
        <w:tab/>
      </w:r>
      <w:r w:rsidR="00B77FC2" w:rsidRPr="00B77FC2">
        <w:rPr>
          <w:rFonts w:ascii="Arial" w:hAnsi="Arial" w:cs="Arial"/>
          <w:sz w:val="20"/>
          <w:szCs w:val="20"/>
        </w:rPr>
        <w:tab/>
      </w:r>
      <w:r>
        <w:rPr>
          <w:rFonts w:ascii="Arial" w:hAnsi="Arial" w:cs="Arial"/>
          <w:sz w:val="20"/>
          <w:szCs w:val="20"/>
        </w:rPr>
        <w:t xml:space="preserve">Nonattainment </w:t>
      </w:r>
      <w:r w:rsidR="00B77FC2" w:rsidRPr="00B77FC2">
        <w:rPr>
          <w:rFonts w:ascii="Arial" w:hAnsi="Arial" w:cs="Arial"/>
          <w:sz w:val="20"/>
          <w:szCs w:val="20"/>
        </w:rPr>
        <w:t>New Source Review</w:t>
      </w:r>
    </w:p>
    <w:p w14:paraId="063124CB"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PM </w:t>
      </w:r>
      <w:r w:rsidRPr="00B77FC2">
        <w:rPr>
          <w:rFonts w:ascii="Arial" w:hAnsi="Arial" w:cs="Arial"/>
          <w:sz w:val="20"/>
          <w:szCs w:val="20"/>
        </w:rPr>
        <w:tab/>
      </w:r>
      <w:r w:rsidRPr="00B77FC2">
        <w:rPr>
          <w:rFonts w:ascii="Arial" w:hAnsi="Arial" w:cs="Arial"/>
          <w:sz w:val="20"/>
          <w:szCs w:val="20"/>
        </w:rPr>
        <w:tab/>
        <w:t>Particulate Matter</w:t>
      </w:r>
    </w:p>
    <w:p w14:paraId="265D3FD0"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PM</w:t>
      </w:r>
      <w:r w:rsidRPr="00B77FC2">
        <w:rPr>
          <w:rFonts w:ascii="Arial" w:hAnsi="Arial" w:cs="Arial"/>
          <w:sz w:val="20"/>
          <w:szCs w:val="20"/>
          <w:vertAlign w:val="subscript"/>
        </w:rPr>
        <w:t>10</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Particulate Matter Smaller Than 10 Microns in Diameter</w:t>
      </w:r>
    </w:p>
    <w:p w14:paraId="6265CDA6"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PM</w:t>
      </w:r>
      <w:r w:rsidRPr="00B77FC2">
        <w:rPr>
          <w:rFonts w:ascii="Arial" w:hAnsi="Arial" w:cs="Arial"/>
          <w:sz w:val="20"/>
          <w:szCs w:val="20"/>
          <w:vertAlign w:val="subscript"/>
        </w:rPr>
        <w:t>2.5</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Particulate Matter Smaller Than 2.5 Microns in Diameter</w:t>
      </w:r>
    </w:p>
    <w:p w14:paraId="768F5742" w14:textId="77777777" w:rsidR="00257FC0" w:rsidRDefault="00257FC0" w:rsidP="00B77FC2">
      <w:pPr>
        <w:spacing w:after="0"/>
        <w:rPr>
          <w:rFonts w:ascii="Arial" w:hAnsi="Arial" w:cs="Arial"/>
          <w:sz w:val="20"/>
          <w:szCs w:val="20"/>
        </w:rPr>
      </w:pPr>
      <w:r>
        <w:rPr>
          <w:rFonts w:ascii="Arial" w:hAnsi="Arial" w:cs="Arial"/>
          <w:sz w:val="20"/>
          <w:szCs w:val="20"/>
        </w:rPr>
        <w:t>R-307</w:t>
      </w:r>
      <w:r>
        <w:rPr>
          <w:rFonts w:ascii="Arial" w:hAnsi="Arial" w:cs="Arial"/>
          <w:sz w:val="20"/>
          <w:szCs w:val="20"/>
        </w:rPr>
        <w:tab/>
      </w:r>
      <w:r>
        <w:rPr>
          <w:rFonts w:ascii="Arial" w:hAnsi="Arial" w:cs="Arial"/>
          <w:sz w:val="20"/>
          <w:szCs w:val="20"/>
        </w:rPr>
        <w:tab/>
        <w:t>Utah Administrative Code Air Quality Rules</w:t>
      </w:r>
    </w:p>
    <w:p w14:paraId="741365C6"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RACM</w:t>
      </w:r>
      <w:r w:rsidRPr="00B77FC2">
        <w:rPr>
          <w:rFonts w:ascii="Arial" w:hAnsi="Arial" w:cs="Arial"/>
          <w:sz w:val="20"/>
          <w:szCs w:val="20"/>
        </w:rPr>
        <w:tab/>
      </w:r>
      <w:r w:rsidRPr="00B77FC2">
        <w:rPr>
          <w:rFonts w:ascii="Arial" w:hAnsi="Arial" w:cs="Arial"/>
          <w:sz w:val="20"/>
          <w:szCs w:val="20"/>
        </w:rPr>
        <w:tab/>
        <w:t>Reasonably Available Control Measures</w:t>
      </w:r>
    </w:p>
    <w:p w14:paraId="2734653A"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RACT</w:t>
      </w:r>
      <w:r w:rsidRPr="00B77FC2">
        <w:rPr>
          <w:rFonts w:ascii="Arial" w:hAnsi="Arial" w:cs="Arial"/>
          <w:sz w:val="20"/>
          <w:szCs w:val="20"/>
        </w:rPr>
        <w:tab/>
      </w:r>
      <w:r w:rsidRPr="00B77FC2">
        <w:rPr>
          <w:rFonts w:ascii="Arial" w:hAnsi="Arial" w:cs="Arial"/>
          <w:sz w:val="20"/>
          <w:szCs w:val="20"/>
        </w:rPr>
        <w:tab/>
        <w:t>Reasonably Available Control Technology</w:t>
      </w:r>
    </w:p>
    <w:p w14:paraId="201C2522"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RFP</w:t>
      </w:r>
      <w:r w:rsidRPr="00B77FC2">
        <w:rPr>
          <w:rFonts w:ascii="Arial" w:hAnsi="Arial" w:cs="Arial"/>
          <w:sz w:val="20"/>
          <w:szCs w:val="20"/>
        </w:rPr>
        <w:tab/>
      </w:r>
      <w:r w:rsidRPr="00B77FC2">
        <w:rPr>
          <w:rFonts w:ascii="Arial" w:hAnsi="Arial" w:cs="Arial"/>
          <w:sz w:val="20"/>
          <w:szCs w:val="20"/>
        </w:rPr>
        <w:tab/>
        <w:t>Reasonable Further Progress</w:t>
      </w:r>
    </w:p>
    <w:p w14:paraId="28554DCC" w14:textId="769B0D2C" w:rsidR="00DE7B90" w:rsidRDefault="00DE7B90" w:rsidP="00B77FC2">
      <w:pPr>
        <w:spacing w:after="0"/>
        <w:rPr>
          <w:rFonts w:ascii="Arial" w:hAnsi="Arial" w:cs="Arial"/>
          <w:sz w:val="20"/>
          <w:szCs w:val="20"/>
        </w:rPr>
      </w:pPr>
      <w:r>
        <w:rPr>
          <w:rFonts w:ascii="Arial" w:hAnsi="Arial" w:cs="Arial"/>
          <w:sz w:val="20"/>
          <w:szCs w:val="20"/>
        </w:rPr>
        <w:t>RRF</w:t>
      </w:r>
      <w:r>
        <w:rPr>
          <w:rFonts w:ascii="Arial" w:hAnsi="Arial" w:cs="Arial"/>
          <w:sz w:val="20"/>
          <w:szCs w:val="20"/>
        </w:rPr>
        <w:tab/>
      </w:r>
      <w:r>
        <w:rPr>
          <w:rFonts w:ascii="Arial" w:hAnsi="Arial" w:cs="Arial"/>
          <w:sz w:val="20"/>
          <w:szCs w:val="20"/>
        </w:rPr>
        <w:tab/>
        <w:t>Relative Response Factor</w:t>
      </w:r>
    </w:p>
    <w:p w14:paraId="72C952A1" w14:textId="6EAAC505" w:rsidR="00B77FC2" w:rsidRDefault="00B77FC2" w:rsidP="00B77FC2">
      <w:pPr>
        <w:spacing w:after="0"/>
        <w:rPr>
          <w:rFonts w:ascii="Arial" w:hAnsi="Arial" w:cs="Arial"/>
          <w:sz w:val="20"/>
          <w:szCs w:val="20"/>
        </w:rPr>
      </w:pPr>
      <w:r w:rsidRPr="00B77FC2">
        <w:rPr>
          <w:rFonts w:ascii="Arial" w:hAnsi="Arial" w:cs="Arial"/>
          <w:sz w:val="20"/>
          <w:szCs w:val="20"/>
        </w:rPr>
        <w:t>SIP</w:t>
      </w:r>
      <w:r w:rsidRPr="00B77FC2">
        <w:rPr>
          <w:rFonts w:ascii="Arial" w:hAnsi="Arial" w:cs="Arial"/>
          <w:sz w:val="20"/>
          <w:szCs w:val="20"/>
        </w:rPr>
        <w:tab/>
      </w:r>
      <w:r w:rsidRPr="00B77FC2">
        <w:rPr>
          <w:rFonts w:ascii="Arial" w:hAnsi="Arial" w:cs="Arial"/>
          <w:sz w:val="20"/>
          <w:szCs w:val="20"/>
        </w:rPr>
        <w:tab/>
        <w:t>State Implementation Plan</w:t>
      </w:r>
    </w:p>
    <w:p w14:paraId="3073DD0E" w14:textId="77777777" w:rsidR="00B77FC2" w:rsidRPr="00B77FC2" w:rsidRDefault="00B77FC2" w:rsidP="00B77FC2">
      <w:pPr>
        <w:spacing w:after="0"/>
        <w:rPr>
          <w:rFonts w:ascii="Arial" w:hAnsi="Arial" w:cs="Arial"/>
          <w:sz w:val="20"/>
          <w:szCs w:val="20"/>
        </w:rPr>
      </w:pPr>
      <w:r>
        <w:rPr>
          <w:rFonts w:ascii="Arial" w:hAnsi="Arial" w:cs="Arial"/>
          <w:sz w:val="20"/>
          <w:szCs w:val="20"/>
        </w:rPr>
        <w:t>SLC NAA</w:t>
      </w:r>
      <w:r>
        <w:rPr>
          <w:rFonts w:ascii="Arial" w:hAnsi="Arial" w:cs="Arial"/>
          <w:sz w:val="20"/>
          <w:szCs w:val="20"/>
        </w:rPr>
        <w:tab/>
        <w:t>Salt Lake City Nonattainment Area</w:t>
      </w:r>
    </w:p>
    <w:p w14:paraId="67F43195"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SMAT</w:t>
      </w:r>
      <w:r w:rsidRPr="00B77FC2">
        <w:rPr>
          <w:rFonts w:ascii="Arial" w:hAnsi="Arial" w:cs="Arial"/>
          <w:sz w:val="20"/>
          <w:szCs w:val="20"/>
        </w:rPr>
        <w:tab/>
      </w:r>
      <w:r w:rsidRPr="00B77FC2">
        <w:rPr>
          <w:rFonts w:ascii="Arial" w:hAnsi="Arial" w:cs="Arial"/>
          <w:sz w:val="20"/>
          <w:szCs w:val="20"/>
        </w:rPr>
        <w:tab/>
        <w:t>Software for Model Attainment Test</w:t>
      </w:r>
    </w:p>
    <w:p w14:paraId="1E1F169E"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SMOKE</w:t>
      </w:r>
      <w:r w:rsidRPr="00B77FC2">
        <w:rPr>
          <w:rFonts w:ascii="Arial" w:hAnsi="Arial" w:cs="Arial"/>
          <w:sz w:val="20"/>
          <w:szCs w:val="20"/>
        </w:rPr>
        <w:tab/>
        <w:t>Sparse Matrix Operator Kernal Emissions</w:t>
      </w:r>
    </w:p>
    <w:p w14:paraId="29B37E0C" w14:textId="77777777" w:rsidR="00B77FC2" w:rsidRPr="003E2A21" w:rsidRDefault="00B77FC2" w:rsidP="00B77FC2">
      <w:pPr>
        <w:spacing w:after="0"/>
        <w:rPr>
          <w:rFonts w:ascii="Arial" w:hAnsi="Arial" w:cs="Arial"/>
          <w:sz w:val="20"/>
          <w:szCs w:val="20"/>
        </w:rPr>
      </w:pPr>
      <w:r w:rsidRPr="003E2A21">
        <w:rPr>
          <w:rFonts w:ascii="Arial" w:hAnsi="Arial" w:cs="Arial"/>
          <w:sz w:val="20"/>
          <w:szCs w:val="20"/>
        </w:rPr>
        <w:t>SO</w:t>
      </w:r>
      <w:r w:rsidRPr="003E2A21">
        <w:rPr>
          <w:rFonts w:ascii="Arial" w:hAnsi="Arial" w:cs="Arial"/>
          <w:sz w:val="20"/>
          <w:szCs w:val="20"/>
          <w:vertAlign w:val="subscript"/>
        </w:rPr>
        <w:t>2</w:t>
      </w:r>
      <w:r w:rsidRPr="003E2A21">
        <w:rPr>
          <w:rFonts w:ascii="Arial" w:hAnsi="Arial" w:cs="Arial"/>
          <w:sz w:val="20"/>
          <w:szCs w:val="20"/>
        </w:rPr>
        <w:t xml:space="preserve"> </w:t>
      </w:r>
      <w:r w:rsidRPr="003E2A21">
        <w:rPr>
          <w:rFonts w:ascii="Arial" w:hAnsi="Arial" w:cs="Arial"/>
          <w:sz w:val="20"/>
          <w:szCs w:val="20"/>
        </w:rPr>
        <w:tab/>
      </w:r>
      <w:r w:rsidRPr="003E2A21">
        <w:rPr>
          <w:rFonts w:ascii="Arial" w:hAnsi="Arial" w:cs="Arial"/>
          <w:sz w:val="20"/>
          <w:szCs w:val="20"/>
        </w:rPr>
        <w:tab/>
        <w:t>Sulfur Dioxide</w:t>
      </w:r>
    </w:p>
    <w:p w14:paraId="65F7533F" w14:textId="77777777" w:rsidR="00B77FC2" w:rsidRPr="003E2A21" w:rsidRDefault="00B77FC2" w:rsidP="00B77FC2">
      <w:pPr>
        <w:spacing w:after="0"/>
        <w:rPr>
          <w:rFonts w:ascii="Arial" w:hAnsi="Arial" w:cs="Arial"/>
          <w:sz w:val="20"/>
          <w:szCs w:val="20"/>
        </w:rPr>
      </w:pPr>
      <w:r w:rsidRPr="003E2A21">
        <w:rPr>
          <w:rFonts w:ascii="Arial" w:hAnsi="Arial" w:cs="Arial"/>
          <w:sz w:val="20"/>
          <w:szCs w:val="20"/>
        </w:rPr>
        <w:t>SO</w:t>
      </w:r>
      <w:r w:rsidRPr="003E2A21">
        <w:rPr>
          <w:rFonts w:ascii="Arial" w:hAnsi="Arial" w:cs="Arial"/>
          <w:sz w:val="20"/>
          <w:szCs w:val="20"/>
          <w:vertAlign w:val="subscript"/>
        </w:rPr>
        <w:t>x</w:t>
      </w:r>
      <w:r w:rsidRPr="003E2A21">
        <w:rPr>
          <w:rFonts w:ascii="Arial" w:hAnsi="Arial" w:cs="Arial"/>
          <w:sz w:val="20"/>
          <w:szCs w:val="20"/>
        </w:rPr>
        <w:t xml:space="preserve"> </w:t>
      </w:r>
      <w:r w:rsidRPr="003E2A21">
        <w:rPr>
          <w:rFonts w:ascii="Arial" w:hAnsi="Arial" w:cs="Arial"/>
          <w:sz w:val="20"/>
          <w:szCs w:val="20"/>
        </w:rPr>
        <w:tab/>
      </w:r>
      <w:r w:rsidRPr="003E2A21">
        <w:rPr>
          <w:rFonts w:ascii="Arial" w:hAnsi="Arial" w:cs="Arial"/>
          <w:sz w:val="20"/>
          <w:szCs w:val="20"/>
        </w:rPr>
        <w:tab/>
        <w:t>Sulfur Oxides</w:t>
      </w:r>
    </w:p>
    <w:p w14:paraId="5C417D43" w14:textId="77777777" w:rsidR="00867B9B" w:rsidRPr="003E2A21" w:rsidRDefault="00867B9B" w:rsidP="00B77FC2">
      <w:pPr>
        <w:spacing w:after="0"/>
        <w:rPr>
          <w:rFonts w:ascii="Arial" w:hAnsi="Arial" w:cs="Arial"/>
          <w:sz w:val="20"/>
          <w:szCs w:val="20"/>
        </w:rPr>
      </w:pPr>
      <w:r w:rsidRPr="003E2A21">
        <w:rPr>
          <w:rFonts w:ascii="Arial" w:hAnsi="Arial" w:cs="Arial"/>
          <w:sz w:val="20"/>
          <w:szCs w:val="20"/>
        </w:rPr>
        <w:t>TPY</w:t>
      </w:r>
      <w:r w:rsidRPr="003E2A21">
        <w:rPr>
          <w:rFonts w:ascii="Arial" w:hAnsi="Arial" w:cs="Arial"/>
          <w:sz w:val="20"/>
          <w:szCs w:val="20"/>
        </w:rPr>
        <w:tab/>
      </w:r>
      <w:r w:rsidRPr="003E2A21">
        <w:rPr>
          <w:rFonts w:ascii="Arial" w:hAnsi="Arial" w:cs="Arial"/>
          <w:sz w:val="20"/>
          <w:szCs w:val="20"/>
        </w:rPr>
        <w:tab/>
        <w:t>Tons Per Year</w:t>
      </w:r>
    </w:p>
    <w:p w14:paraId="576F6A53" w14:textId="77777777" w:rsidR="00B77FC2" w:rsidRPr="003E2A21" w:rsidRDefault="00B77FC2" w:rsidP="00B77FC2">
      <w:pPr>
        <w:spacing w:after="0"/>
        <w:rPr>
          <w:rFonts w:ascii="Arial" w:hAnsi="Arial" w:cs="Arial"/>
          <w:sz w:val="20"/>
          <w:szCs w:val="20"/>
        </w:rPr>
      </w:pPr>
      <w:r w:rsidRPr="003E2A21">
        <w:rPr>
          <w:rFonts w:ascii="Arial" w:hAnsi="Arial" w:cs="Arial"/>
          <w:sz w:val="20"/>
          <w:szCs w:val="20"/>
        </w:rPr>
        <w:t>TSD</w:t>
      </w:r>
      <w:r w:rsidRPr="003E2A21">
        <w:rPr>
          <w:rFonts w:ascii="Arial" w:hAnsi="Arial" w:cs="Arial"/>
          <w:sz w:val="20"/>
          <w:szCs w:val="20"/>
        </w:rPr>
        <w:tab/>
      </w:r>
      <w:r w:rsidRPr="003E2A21">
        <w:rPr>
          <w:rFonts w:ascii="Arial" w:hAnsi="Arial" w:cs="Arial"/>
          <w:sz w:val="20"/>
          <w:szCs w:val="20"/>
        </w:rPr>
        <w:tab/>
        <w:t>Technical Support Document</w:t>
      </w:r>
    </w:p>
    <w:p w14:paraId="684EDD13" w14:textId="77777777" w:rsidR="00257FC0" w:rsidRPr="003E2A21" w:rsidRDefault="00257FC0" w:rsidP="00B77FC2">
      <w:pPr>
        <w:spacing w:after="0"/>
        <w:rPr>
          <w:rFonts w:ascii="Arial" w:hAnsi="Arial" w:cs="Arial"/>
          <w:sz w:val="20"/>
          <w:szCs w:val="20"/>
        </w:rPr>
      </w:pPr>
      <w:r w:rsidRPr="003E2A21">
        <w:rPr>
          <w:rFonts w:ascii="Arial" w:hAnsi="Arial" w:cs="Arial"/>
          <w:sz w:val="20"/>
          <w:szCs w:val="20"/>
        </w:rPr>
        <w:t>UAC</w:t>
      </w:r>
      <w:r w:rsidRPr="003E2A21">
        <w:rPr>
          <w:rFonts w:ascii="Arial" w:hAnsi="Arial" w:cs="Arial"/>
          <w:sz w:val="20"/>
          <w:szCs w:val="20"/>
        </w:rPr>
        <w:tab/>
      </w:r>
      <w:r w:rsidRPr="003E2A21">
        <w:rPr>
          <w:rFonts w:ascii="Arial" w:hAnsi="Arial" w:cs="Arial"/>
          <w:sz w:val="20"/>
          <w:szCs w:val="20"/>
        </w:rPr>
        <w:tab/>
        <w:t>Utah Administrative Code</w:t>
      </w:r>
    </w:p>
    <w:p w14:paraId="34840376" w14:textId="77777777" w:rsidR="00FC6437" w:rsidRDefault="00FC6437" w:rsidP="00B77FC2">
      <w:pPr>
        <w:spacing w:after="0"/>
        <w:rPr>
          <w:rFonts w:ascii="Arial" w:hAnsi="Arial" w:cs="Arial"/>
          <w:sz w:val="20"/>
          <w:szCs w:val="20"/>
        </w:rPr>
      </w:pPr>
      <w:r>
        <w:rPr>
          <w:rFonts w:ascii="Arial" w:hAnsi="Arial" w:cs="Arial"/>
          <w:sz w:val="20"/>
          <w:szCs w:val="20"/>
        </w:rPr>
        <w:t>UT</w:t>
      </w:r>
      <w:r>
        <w:rPr>
          <w:rFonts w:ascii="Arial" w:hAnsi="Arial" w:cs="Arial"/>
          <w:sz w:val="20"/>
          <w:szCs w:val="20"/>
        </w:rPr>
        <w:tab/>
      </w:r>
      <w:r>
        <w:rPr>
          <w:rFonts w:ascii="Arial" w:hAnsi="Arial" w:cs="Arial"/>
          <w:sz w:val="20"/>
          <w:szCs w:val="20"/>
        </w:rPr>
        <w:tab/>
        <w:t>Utah</w:t>
      </w:r>
    </w:p>
    <w:p w14:paraId="47858C60" w14:textId="77777777" w:rsidR="00FC6437" w:rsidRPr="00B77FC2" w:rsidRDefault="00FC6437" w:rsidP="00B77FC2">
      <w:pPr>
        <w:spacing w:after="0"/>
        <w:rPr>
          <w:rFonts w:ascii="Arial" w:hAnsi="Arial" w:cs="Arial"/>
          <w:sz w:val="20"/>
          <w:szCs w:val="20"/>
        </w:rPr>
      </w:pPr>
      <w:r>
        <w:rPr>
          <w:rFonts w:ascii="Arial" w:hAnsi="Arial" w:cs="Arial"/>
          <w:sz w:val="20"/>
          <w:szCs w:val="20"/>
        </w:rPr>
        <w:t>VMT</w:t>
      </w:r>
      <w:r>
        <w:rPr>
          <w:rFonts w:ascii="Arial" w:hAnsi="Arial" w:cs="Arial"/>
          <w:sz w:val="20"/>
          <w:szCs w:val="20"/>
        </w:rPr>
        <w:tab/>
      </w:r>
      <w:r>
        <w:rPr>
          <w:rFonts w:ascii="Arial" w:hAnsi="Arial" w:cs="Arial"/>
          <w:sz w:val="20"/>
          <w:szCs w:val="20"/>
        </w:rPr>
        <w:tab/>
        <w:t>Vehicle Miles Travelled</w:t>
      </w:r>
    </w:p>
    <w:p w14:paraId="696715CA"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VOC </w:t>
      </w:r>
      <w:r w:rsidRPr="00B77FC2">
        <w:rPr>
          <w:rFonts w:ascii="Arial" w:hAnsi="Arial" w:cs="Arial"/>
          <w:sz w:val="20"/>
          <w:szCs w:val="20"/>
        </w:rPr>
        <w:tab/>
      </w:r>
      <w:r w:rsidRPr="00B77FC2">
        <w:rPr>
          <w:rFonts w:ascii="Arial" w:hAnsi="Arial" w:cs="Arial"/>
          <w:sz w:val="20"/>
          <w:szCs w:val="20"/>
        </w:rPr>
        <w:tab/>
        <w:t>Volatile Organic Compounds</w:t>
      </w:r>
    </w:p>
    <w:p w14:paraId="32BBDB32" w14:textId="77777777" w:rsidR="00B77FC2" w:rsidRPr="00B77FC2" w:rsidRDefault="00B77FC2" w:rsidP="00B77FC2">
      <w:pPr>
        <w:spacing w:after="0"/>
        <w:rPr>
          <w:rFonts w:ascii="Arial" w:hAnsi="Arial" w:cs="Arial"/>
          <w:sz w:val="20"/>
          <w:szCs w:val="20"/>
        </w:rPr>
        <w:sectPr w:rsidR="00B77FC2" w:rsidRPr="00B77FC2" w:rsidSect="00F939C8">
          <w:footerReference w:type="first" r:id="rId12"/>
          <w:pgSz w:w="12240" w:h="15840"/>
          <w:pgMar w:top="1440" w:right="1080" w:bottom="1440" w:left="1800" w:header="720" w:footer="720" w:gutter="0"/>
          <w:pgNumType w:fmt="lowerRoman" w:start="1"/>
          <w:cols w:space="720"/>
          <w:docGrid w:linePitch="360"/>
        </w:sectPr>
      </w:pPr>
      <w:r w:rsidRPr="00B77FC2">
        <w:rPr>
          <w:rFonts w:ascii="Arial" w:hAnsi="Arial" w:cs="Arial"/>
          <w:sz w:val="20"/>
          <w:szCs w:val="20"/>
        </w:rPr>
        <w:t>WRF</w:t>
      </w:r>
      <w:r w:rsidRPr="00B77FC2">
        <w:rPr>
          <w:rFonts w:ascii="Arial" w:hAnsi="Arial" w:cs="Arial"/>
          <w:sz w:val="20"/>
          <w:szCs w:val="20"/>
        </w:rPr>
        <w:tab/>
      </w:r>
      <w:r w:rsidRPr="00B77FC2">
        <w:rPr>
          <w:rFonts w:ascii="Arial" w:hAnsi="Arial" w:cs="Arial"/>
          <w:sz w:val="20"/>
          <w:szCs w:val="20"/>
        </w:rPr>
        <w:tab/>
        <w:t xml:space="preserve">Weather Research and Forecasting  </w:t>
      </w:r>
    </w:p>
    <w:p w14:paraId="6BD4EDD2" w14:textId="77777777" w:rsidR="00E72B26" w:rsidRPr="00B0210D" w:rsidRDefault="00D405E8" w:rsidP="00B610AE">
      <w:pPr>
        <w:pStyle w:val="Title"/>
        <w:pBdr>
          <w:bottom w:val="none" w:sz="0" w:space="0" w:color="auto"/>
        </w:pBdr>
      </w:pPr>
      <w:r w:rsidRPr="00B0210D">
        <w:lastRenderedPageBreak/>
        <w:t>Section IX.A.</w:t>
      </w:r>
      <w:r w:rsidR="003B0529">
        <w:t>36</w:t>
      </w:r>
      <w:r w:rsidRPr="00B0210D">
        <w:t xml:space="preserve"> </w:t>
      </w:r>
    </w:p>
    <w:p w14:paraId="62B47744" w14:textId="629B8985" w:rsidR="00D405E8" w:rsidRPr="00B0210D" w:rsidRDefault="00D405E8" w:rsidP="00B610AE">
      <w:pPr>
        <w:pStyle w:val="Title"/>
        <w:pBdr>
          <w:bottom w:val="none" w:sz="0" w:space="0" w:color="auto"/>
        </w:pBdr>
        <w:tabs>
          <w:tab w:val="right" w:pos="9360"/>
        </w:tabs>
      </w:pPr>
      <w:r w:rsidRPr="00B0210D">
        <w:t>PM</w:t>
      </w:r>
      <w:r w:rsidRPr="00A72F45">
        <w:rPr>
          <w:vertAlign w:val="subscript"/>
        </w:rPr>
        <w:t xml:space="preserve">2.5 </w:t>
      </w:r>
      <w:r w:rsidRPr="00B0210D">
        <w:t xml:space="preserve">Maintenance Provisions </w:t>
      </w:r>
      <w:r w:rsidR="00AC79A9">
        <w:t xml:space="preserve">the </w:t>
      </w:r>
      <w:r w:rsidRPr="00B0210D">
        <w:t xml:space="preserve">for </w:t>
      </w:r>
      <w:r w:rsidR="003B0529">
        <w:t>SLC</w:t>
      </w:r>
      <w:r w:rsidRPr="00B0210D">
        <w:t>, UT</w:t>
      </w:r>
      <w:r w:rsidR="00AC79A9">
        <w:t xml:space="preserve"> Nonattainment Area</w:t>
      </w:r>
      <w:r w:rsidR="00B610AE">
        <w:tab/>
      </w:r>
    </w:p>
    <w:p w14:paraId="40504DC9" w14:textId="7F91EDF3" w:rsidR="00862C8F" w:rsidRDefault="003B7836" w:rsidP="00070031">
      <w:pPr>
        <w:pStyle w:val="Heading1"/>
        <w:numPr>
          <w:ilvl w:val="0"/>
          <w:numId w:val="0"/>
        </w:numPr>
      </w:pPr>
      <w:bookmarkStart w:id="2" w:name="_Toc17268953"/>
      <w:r>
        <w:t>IX.A.36</w:t>
      </w:r>
      <w:r w:rsidR="00D405E8" w:rsidRPr="00196516">
        <w:t xml:space="preserve">.a </w:t>
      </w:r>
      <w:r w:rsidR="00862C8F" w:rsidRPr="00196516">
        <w:t>Introduction</w:t>
      </w:r>
      <w:bookmarkEnd w:id="2"/>
    </w:p>
    <w:p w14:paraId="63C4E8F1" w14:textId="2A0D5215" w:rsidR="00A07098" w:rsidRDefault="008B1346" w:rsidP="00E875DA">
      <w:r>
        <w:t xml:space="preserve">The </w:t>
      </w:r>
      <w:r w:rsidRPr="00113E09">
        <w:t xml:space="preserve">Salt Lake City Nonattainment Area (SLC NAA) </w:t>
      </w:r>
      <w:r>
        <w:t xml:space="preserve">has attained the 2006 </w:t>
      </w:r>
      <w:r w:rsidRPr="00EF2C3F">
        <w:t>PM</w:t>
      </w:r>
      <w:r w:rsidRPr="00EF2C3F">
        <w:rPr>
          <w:vertAlign w:val="subscript"/>
        </w:rPr>
        <w:t>2.5</w:t>
      </w:r>
      <w:r w:rsidRPr="00EF2C3F">
        <w:t xml:space="preserve"> </w:t>
      </w:r>
      <w:r>
        <w:t>24-hour National Ambient Air Quality Standard</w:t>
      </w:r>
      <w:r w:rsidR="00A07098">
        <w:t xml:space="preserve"> (NAAQS)</w:t>
      </w:r>
      <w:r>
        <w:t xml:space="preserve">. </w:t>
      </w:r>
      <w:r w:rsidR="006E6B36">
        <w:t>As a result, this</w:t>
      </w:r>
      <w:r w:rsidR="001504A6">
        <w:t xml:space="preserve"> Section </w:t>
      </w:r>
      <w:r w:rsidR="006E6B36">
        <w:t>has been added to</w:t>
      </w:r>
      <w:r w:rsidR="001504A6">
        <w:t xml:space="preserve"> the State Implementation Plan</w:t>
      </w:r>
      <w:r w:rsidR="00A07098">
        <w:t xml:space="preserve"> </w:t>
      </w:r>
      <w:r w:rsidR="00AD37ED">
        <w:t>(</w:t>
      </w:r>
      <w:r w:rsidR="00A07098">
        <w:t>SIP)</w:t>
      </w:r>
      <w:r w:rsidR="001504A6">
        <w:t xml:space="preserve"> </w:t>
      </w:r>
      <w:r w:rsidR="006E6B36">
        <w:t xml:space="preserve">to </w:t>
      </w:r>
      <w:r w:rsidR="00A07098">
        <w:t>demonstrate</w:t>
      </w:r>
      <w:r>
        <w:t xml:space="preserve"> that </w:t>
      </w:r>
      <w:r w:rsidR="004D31BC">
        <w:t>the SLC NAA is eligible for redesignation</w:t>
      </w:r>
      <w:r w:rsidR="009F00F2">
        <w:t xml:space="preserve"> to attainment</w:t>
      </w:r>
      <w:r w:rsidR="00D16248">
        <w:t xml:space="preserve">. </w:t>
      </w:r>
      <w:r w:rsidR="001504A6">
        <w:t>Under Section 107(d)(3)(E) of the Clean Air Act (CAA or the Act), a</w:t>
      </w:r>
      <w:r w:rsidR="007F3A49">
        <w:t xml:space="preserve"> nonattainment area is eligible for redesignation when the area has</w:t>
      </w:r>
      <w:r w:rsidR="00914CC4">
        <w:t xml:space="preserve"> met the following requirements: (1) the area has</w:t>
      </w:r>
      <w:r w:rsidR="007F3A49">
        <w:t xml:space="preserve"> attained the national ambient air quality standard</w:t>
      </w:r>
      <w:r w:rsidR="00914CC4">
        <w:t xml:space="preserve">, (2) </w:t>
      </w:r>
      <w:r w:rsidR="007F3A49">
        <w:t xml:space="preserve">the area has an </w:t>
      </w:r>
      <w:r w:rsidR="002E7647">
        <w:t>Environmental Protection Agency (</w:t>
      </w:r>
      <w:r w:rsidR="007F3A49">
        <w:t>EPA</w:t>
      </w:r>
      <w:r w:rsidR="002E7647">
        <w:t>)</w:t>
      </w:r>
      <w:r w:rsidR="007F3A49">
        <w:t xml:space="preserve"> approv</w:t>
      </w:r>
      <w:r w:rsidR="00AD37ED">
        <w:t xml:space="preserve">ed attainment </w:t>
      </w:r>
      <w:r w:rsidR="007F3A49">
        <w:t xml:space="preserve">SIP, </w:t>
      </w:r>
      <w:r w:rsidR="00914CC4">
        <w:t xml:space="preserve">(3) </w:t>
      </w:r>
      <w:r w:rsidR="007F3A49">
        <w:t xml:space="preserve">the improvement in air quality is due to permanent and enforceable reductions in emissions resulting from implementation of the SIP, </w:t>
      </w:r>
      <w:r w:rsidR="00914CC4">
        <w:t xml:space="preserve">(4) </w:t>
      </w:r>
      <w:r w:rsidR="007F3A49" w:rsidRPr="007F3A49">
        <w:t xml:space="preserve">the </w:t>
      </w:r>
      <w:r w:rsidR="00CC12E2">
        <w:t>S</w:t>
      </w:r>
      <w:r w:rsidR="007F3A49">
        <w:t>tate</w:t>
      </w:r>
      <w:r w:rsidR="007F3A49" w:rsidRPr="007F3A49">
        <w:t xml:space="preserve"> has met </w:t>
      </w:r>
      <w:r w:rsidR="007F3A49">
        <w:t>the SIP requirements of</w:t>
      </w:r>
      <w:r w:rsidR="007F3A49" w:rsidRPr="007F3A49">
        <w:t xml:space="preserve"> </w:t>
      </w:r>
      <w:r w:rsidR="007F3A49">
        <w:t>S</w:t>
      </w:r>
      <w:r w:rsidR="007F3A49" w:rsidRPr="007F3A49">
        <w:t>ection 110 and Part D</w:t>
      </w:r>
      <w:r w:rsidR="007F3A49">
        <w:t xml:space="preserve"> of the Act, and </w:t>
      </w:r>
      <w:r w:rsidR="00914CC4">
        <w:t xml:space="preserve">(5) </w:t>
      </w:r>
      <w:r w:rsidR="007F3A49">
        <w:t>the area has an EPA approved</w:t>
      </w:r>
      <w:r w:rsidR="007F3A49" w:rsidRPr="007F3A49">
        <w:t xml:space="preserve"> Maintenance Plan.</w:t>
      </w:r>
      <w:r w:rsidR="007F3A49">
        <w:t xml:space="preserve"> </w:t>
      </w:r>
    </w:p>
    <w:p w14:paraId="142945FD" w14:textId="0B224B9D" w:rsidR="00914CC4" w:rsidRDefault="009F00F2" w:rsidP="00E875DA">
      <w:r>
        <w:t xml:space="preserve">As demonstrated </w:t>
      </w:r>
      <w:r w:rsidR="0068764D">
        <w:t xml:space="preserve">in </w:t>
      </w:r>
      <w:r w:rsidR="006B312B">
        <w:t xml:space="preserve">Subsection </w:t>
      </w:r>
      <w:r w:rsidR="002839AD">
        <w:t>IX.A.36.</w:t>
      </w:r>
      <w:r w:rsidR="0068764D">
        <w:t>b</w:t>
      </w:r>
      <w:r>
        <w:t xml:space="preserve">, </w:t>
      </w:r>
      <w:r w:rsidR="002839AD">
        <w:t xml:space="preserve">the </w:t>
      </w:r>
      <w:r w:rsidR="0068764D">
        <w:t xml:space="preserve">SLC NAA </w:t>
      </w:r>
      <w:r w:rsidR="002839AD">
        <w:t xml:space="preserve">has satisfied </w:t>
      </w:r>
      <w:r w:rsidR="006E6B36">
        <w:t xml:space="preserve">the </w:t>
      </w:r>
      <w:r w:rsidR="00A07098">
        <w:t>redesignation</w:t>
      </w:r>
      <w:r w:rsidR="006E6B36">
        <w:t xml:space="preserve"> requirements </w:t>
      </w:r>
      <w:r w:rsidR="00A07098">
        <w:t xml:space="preserve">of Section 107 </w:t>
      </w:r>
      <w:r w:rsidR="006E6B36">
        <w:t>and</w:t>
      </w:r>
      <w:r w:rsidR="002839AD">
        <w:t xml:space="preserve"> is eligible for redesignation</w:t>
      </w:r>
      <w:r w:rsidR="006E6B36">
        <w:t xml:space="preserve"> pending </w:t>
      </w:r>
      <w:r w:rsidR="00144970">
        <w:t xml:space="preserve">the </w:t>
      </w:r>
      <w:r w:rsidR="006E6B36">
        <w:t>EPA</w:t>
      </w:r>
      <w:r w:rsidR="00144970">
        <w:t>’s</w:t>
      </w:r>
      <w:r w:rsidR="006E6B36">
        <w:t xml:space="preserve"> approval of the </w:t>
      </w:r>
      <w:r w:rsidR="00A07098">
        <w:t>SLC NAA M</w:t>
      </w:r>
      <w:r w:rsidR="006E6B36">
        <w:t xml:space="preserve">aintenance </w:t>
      </w:r>
      <w:r w:rsidR="00A07098">
        <w:t>P</w:t>
      </w:r>
      <w:r w:rsidR="006E6B36">
        <w:t xml:space="preserve">lan. The </w:t>
      </w:r>
      <w:r w:rsidR="00A07098">
        <w:t>m</w:t>
      </w:r>
      <w:r w:rsidR="006E6B36">
        <w:t xml:space="preserve">aintenance plan is included in </w:t>
      </w:r>
      <w:r w:rsidR="006B312B">
        <w:t xml:space="preserve">Subsection </w:t>
      </w:r>
      <w:r w:rsidR="006E6B36">
        <w:t>IX.A.36.</w:t>
      </w:r>
      <w:r w:rsidR="00A07098">
        <w:t>c</w:t>
      </w:r>
      <w:r w:rsidR="006E6B36">
        <w:t xml:space="preserve"> </w:t>
      </w:r>
      <w:r w:rsidR="00A07098">
        <w:t xml:space="preserve">and was written in compliance with Section 175A of the Act. The maintenance plan </w:t>
      </w:r>
      <w:r w:rsidR="006E6B36">
        <w:t xml:space="preserve">demonstrates </w:t>
      </w:r>
      <w:r w:rsidR="006E6B36" w:rsidRPr="00EF2C3F">
        <w:t>that the</w:t>
      </w:r>
      <w:r w:rsidR="006E6B36">
        <w:t xml:space="preserve"> SLC NAA </w:t>
      </w:r>
      <w:r w:rsidR="006E6B36" w:rsidRPr="00EF2C3F">
        <w:t xml:space="preserve">will continue to maintain </w:t>
      </w:r>
      <w:r w:rsidR="009805B9">
        <w:t>the 24-hour</w:t>
      </w:r>
      <w:r w:rsidR="009805B9" w:rsidRPr="00EF2C3F">
        <w:t xml:space="preserve"> PM</w:t>
      </w:r>
      <w:r w:rsidR="009805B9" w:rsidRPr="00EF2C3F">
        <w:rPr>
          <w:vertAlign w:val="subscript"/>
        </w:rPr>
        <w:t>2.5</w:t>
      </w:r>
      <w:r w:rsidR="009805B9" w:rsidRPr="00EF2C3F">
        <w:t xml:space="preserve"> </w:t>
      </w:r>
      <w:r w:rsidR="009805B9">
        <w:t xml:space="preserve">NAAQS </w:t>
      </w:r>
      <w:r w:rsidR="001104F6" w:rsidRPr="00EF2C3F">
        <w:t xml:space="preserve">through </w:t>
      </w:r>
      <w:r w:rsidR="006E6B36">
        <w:t xml:space="preserve">at least </w:t>
      </w:r>
      <w:r w:rsidR="006E6B36" w:rsidRPr="00EF2C3F">
        <w:t>the year 2035.</w:t>
      </w:r>
      <w:r w:rsidR="006E6B36">
        <w:t xml:space="preserve"> </w:t>
      </w:r>
      <w:r w:rsidR="00A07098">
        <w:t>The maintenance plan</w:t>
      </w:r>
      <w:r w:rsidR="006E6B36">
        <w:t xml:space="preserve"> also includes contingency </w:t>
      </w:r>
      <w:r w:rsidR="00F57FE4">
        <w:t xml:space="preserve">measures </w:t>
      </w:r>
      <w:r w:rsidR="006E6B36">
        <w:t>to assure that the State will promptly correct any violation of the standard that may occur after redesignation.</w:t>
      </w:r>
      <w:r w:rsidR="005B739B">
        <w:t xml:space="preserve"> </w:t>
      </w:r>
      <w:r w:rsidR="00144970">
        <w:t xml:space="preserve">Upon the EPA’s approval of the maintenance plan, the State </w:t>
      </w:r>
      <w:r w:rsidR="001C17DF">
        <w:t xml:space="preserve">is requesting that </w:t>
      </w:r>
      <w:r w:rsidR="005B739B">
        <w:t xml:space="preserve">the SLC NAA be redesignated to attainment for the 2006 </w:t>
      </w:r>
      <w:r w:rsidR="005B739B" w:rsidRPr="00EF2C3F">
        <w:t>PM</w:t>
      </w:r>
      <w:r w:rsidR="005B739B" w:rsidRPr="00EF2C3F">
        <w:rPr>
          <w:vertAlign w:val="subscript"/>
        </w:rPr>
        <w:t>2.5</w:t>
      </w:r>
      <w:r w:rsidR="005B739B" w:rsidRPr="00EF2C3F">
        <w:t xml:space="preserve"> </w:t>
      </w:r>
      <w:r w:rsidR="005B739B">
        <w:t>24-hour NAAQS</w:t>
      </w:r>
      <w:r w:rsidR="00144970">
        <w:t>.</w:t>
      </w:r>
      <w:r w:rsidR="00C954CB">
        <w:rPr>
          <w:rStyle w:val="FootnoteReference"/>
        </w:rPr>
        <w:footnoteReference w:id="2"/>
      </w:r>
    </w:p>
    <w:p w14:paraId="0E6EA59F" w14:textId="756F855C" w:rsidR="00904048" w:rsidRDefault="00904048" w:rsidP="00904048">
      <w:pPr>
        <w:pStyle w:val="Heading3"/>
      </w:pPr>
      <w:bookmarkStart w:id="3" w:name="_Toc17268954"/>
      <w:r>
        <w:t>Background</w:t>
      </w:r>
      <w:bookmarkEnd w:id="3"/>
    </w:p>
    <w:p w14:paraId="45D48CC5" w14:textId="0FA89C91" w:rsidR="001405BF" w:rsidRPr="00C26417" w:rsidRDefault="00BD6306" w:rsidP="00E875DA">
      <w:r w:rsidRPr="00EF2C3F">
        <w:t>In October</w:t>
      </w:r>
      <w:r w:rsidR="00050E1C" w:rsidRPr="00EF2C3F">
        <w:t xml:space="preserve"> of 2006, EPA revised the </w:t>
      </w:r>
      <w:r w:rsidR="00471B99">
        <w:t>1997</w:t>
      </w:r>
      <w:r w:rsidR="00050E1C" w:rsidRPr="00EF2C3F">
        <w:t xml:space="preserve"> </w:t>
      </w:r>
      <w:r w:rsidR="00471B99">
        <w:t>NAAQS</w:t>
      </w:r>
      <w:r w:rsidR="00471B99" w:rsidRPr="00EF2C3F">
        <w:t xml:space="preserve"> </w:t>
      </w:r>
      <w:r w:rsidR="00050E1C" w:rsidRPr="00EF2C3F">
        <w:t xml:space="preserve">for </w:t>
      </w:r>
      <w:r w:rsidR="001405BF" w:rsidRPr="00EF2C3F">
        <w:t>PM</w:t>
      </w:r>
      <w:r w:rsidR="001405BF" w:rsidRPr="00EF2C3F">
        <w:rPr>
          <w:vertAlign w:val="subscript"/>
        </w:rPr>
        <w:t>2.5</w:t>
      </w:r>
      <w:r w:rsidR="00050E1C" w:rsidRPr="00EF2C3F">
        <w:t xml:space="preserve">. While the annual standard remained unchanged at 15 </w:t>
      </w:r>
      <w:r w:rsidR="0016479E">
        <w:t>µ</w:t>
      </w:r>
      <w:r w:rsidR="0016479E" w:rsidRPr="00EF2C3F">
        <w:t xml:space="preserve">g </w:t>
      </w:r>
      <w:r w:rsidR="00050E1C" w:rsidRPr="00EF2C3F">
        <w:t>/m</w:t>
      </w:r>
      <w:r w:rsidR="00050E1C" w:rsidRPr="00EF2C3F">
        <w:rPr>
          <w:vertAlign w:val="superscript"/>
        </w:rPr>
        <w:t>3</w:t>
      </w:r>
      <w:r w:rsidR="00246704">
        <w:rPr>
          <w:vertAlign w:val="superscript"/>
        </w:rPr>
        <w:t xml:space="preserve"> </w:t>
      </w:r>
      <w:r w:rsidR="00246704">
        <w:t>until 2012</w:t>
      </w:r>
      <w:r w:rsidR="00050E1C" w:rsidRPr="00EF2C3F">
        <w:t xml:space="preserve">, the 24-hr standard was lowered from 65 </w:t>
      </w:r>
      <w:r w:rsidR="0016479E">
        <w:t>µ</w:t>
      </w:r>
      <w:r w:rsidR="0016479E" w:rsidRPr="00EF2C3F">
        <w:t xml:space="preserve">g </w:t>
      </w:r>
      <w:r w:rsidR="00050E1C" w:rsidRPr="00EF2C3F">
        <w:t>/m</w:t>
      </w:r>
      <w:r w:rsidR="00050E1C" w:rsidRPr="001131AB">
        <w:rPr>
          <w:vertAlign w:val="superscript"/>
        </w:rPr>
        <w:t>3</w:t>
      </w:r>
      <w:r w:rsidR="00050E1C" w:rsidRPr="00EF2C3F">
        <w:t xml:space="preserve"> to 35 </w:t>
      </w:r>
      <w:r w:rsidR="0016479E">
        <w:t>µ</w:t>
      </w:r>
      <w:r w:rsidR="0016479E" w:rsidRPr="00EF2C3F">
        <w:t xml:space="preserve">g </w:t>
      </w:r>
      <w:r w:rsidR="00050E1C" w:rsidRPr="00EF2C3F">
        <w:t>/m</w:t>
      </w:r>
      <w:r w:rsidR="00050E1C" w:rsidRPr="001131AB">
        <w:rPr>
          <w:vertAlign w:val="superscript"/>
        </w:rPr>
        <w:t>3</w:t>
      </w:r>
      <w:r w:rsidR="00050E1C" w:rsidRPr="00EF2C3F">
        <w:t xml:space="preserve">. </w:t>
      </w:r>
      <w:r w:rsidR="00471B99">
        <w:t>The Utah Division of Air Quality (</w:t>
      </w:r>
      <w:r w:rsidR="002A3A57">
        <w:t>U</w:t>
      </w:r>
      <w:r w:rsidR="001405BF" w:rsidRPr="00EF2C3F">
        <w:t>DAQ</w:t>
      </w:r>
      <w:r w:rsidR="00471B99">
        <w:t>)</w:t>
      </w:r>
      <w:r w:rsidR="001405BF" w:rsidRPr="00EF2C3F">
        <w:t xml:space="preserve"> has monitored PM</w:t>
      </w:r>
      <w:r w:rsidR="001405BF" w:rsidRPr="00EF2C3F">
        <w:rPr>
          <w:vertAlign w:val="subscript"/>
        </w:rPr>
        <w:t>2.5</w:t>
      </w:r>
      <w:r w:rsidR="001405BF" w:rsidRPr="00EF2C3F">
        <w:t xml:space="preserve"> since 2000 and found that all areas have </w:t>
      </w:r>
      <w:r w:rsidR="00356561">
        <w:t>complied</w:t>
      </w:r>
      <w:r w:rsidR="001405BF" w:rsidRPr="00EF2C3F">
        <w:t xml:space="preserve"> </w:t>
      </w:r>
      <w:r w:rsidR="006A3F92">
        <w:t xml:space="preserve">with the 1997 standards. </w:t>
      </w:r>
      <w:r w:rsidR="00253D14">
        <w:t xml:space="preserve">Since </w:t>
      </w:r>
      <w:r w:rsidR="006A3F92">
        <w:t>the</w:t>
      </w:r>
      <w:r w:rsidR="002A3A57">
        <w:t xml:space="preserve"> </w:t>
      </w:r>
      <w:r w:rsidR="00E85D82">
        <w:t xml:space="preserve">promulgation of the </w:t>
      </w:r>
      <w:r w:rsidR="001405BF" w:rsidRPr="00EF2C3F">
        <w:t xml:space="preserve">2006 </w:t>
      </w:r>
      <w:r w:rsidR="006A3F92">
        <w:t>standard</w:t>
      </w:r>
      <w:r w:rsidR="00DD0C87" w:rsidRPr="00EF2C3F">
        <w:t>, all or parts of seven</w:t>
      </w:r>
      <w:r w:rsidR="001405BF" w:rsidRPr="00EF2C3F">
        <w:t xml:space="preserve"> </w:t>
      </w:r>
      <w:r w:rsidR="006A3F92">
        <w:t xml:space="preserve">Utah counties </w:t>
      </w:r>
      <w:r w:rsidR="00253D14">
        <w:t xml:space="preserve">have </w:t>
      </w:r>
      <w:r w:rsidR="006A3F92">
        <w:t>recorded</w:t>
      </w:r>
      <w:r w:rsidR="00E85D82">
        <w:t xml:space="preserve"> monitoring data that was</w:t>
      </w:r>
      <w:r w:rsidR="001405BF" w:rsidRPr="00EF2C3F">
        <w:t xml:space="preserve"> not in compliance with the </w:t>
      </w:r>
      <w:r w:rsidR="00471B99">
        <w:t xml:space="preserve">new </w:t>
      </w:r>
      <w:r w:rsidR="001405BF" w:rsidRPr="00EF2C3F">
        <w:t xml:space="preserve">24-hr standard. </w:t>
      </w:r>
      <w:r w:rsidR="00C26417">
        <w:t>In 2012, EPA lowered the annual standard to 12 µ</w:t>
      </w:r>
      <w:r w:rsidR="00C26417" w:rsidRPr="00EF2C3F">
        <w:t>g /m</w:t>
      </w:r>
      <w:r w:rsidR="00C26417" w:rsidRPr="00EF2C3F">
        <w:rPr>
          <w:vertAlign w:val="superscript"/>
        </w:rPr>
        <w:t>3</w:t>
      </w:r>
      <w:r w:rsidR="00C26417">
        <w:t>, and all areas of the state meet this new standard.</w:t>
      </w:r>
    </w:p>
    <w:p w14:paraId="744C53CF" w14:textId="29BC5EA6" w:rsidR="00C15686" w:rsidRDefault="00FE3077" w:rsidP="009E6213">
      <w:r>
        <w:t xml:space="preserve">On November 13, 2009, </w:t>
      </w:r>
      <w:r w:rsidR="00471B99">
        <w:t xml:space="preserve">EPA designated the </w:t>
      </w:r>
      <w:r w:rsidR="001D76E1" w:rsidRPr="00113E09">
        <w:rPr>
          <w:rFonts w:cs="Times New Roman"/>
        </w:rPr>
        <w:t>SLC NAA</w:t>
      </w:r>
      <w:r w:rsidR="00212BB9" w:rsidRPr="00113E09">
        <w:t xml:space="preserve"> </w:t>
      </w:r>
      <w:r>
        <w:t>as</w:t>
      </w:r>
      <w:r w:rsidR="00E85D82">
        <w:t xml:space="preserve"> nonattainment </w:t>
      </w:r>
      <w:r>
        <w:t>for the 2006 24-hour</w:t>
      </w:r>
      <w:r w:rsidRPr="00EF2C3F">
        <w:t xml:space="preserve"> PM</w:t>
      </w:r>
      <w:r w:rsidRPr="00EF2C3F">
        <w:rPr>
          <w:vertAlign w:val="subscript"/>
        </w:rPr>
        <w:t>2.5</w:t>
      </w:r>
      <w:r w:rsidRPr="00EF2C3F">
        <w:t xml:space="preserve"> </w:t>
      </w:r>
      <w:r>
        <w:t>NAAQS</w:t>
      </w:r>
      <w:r w:rsidR="0026249F">
        <w:t xml:space="preserve"> under the Act’s general provisions for nonattainment areas. On January 4, 2013, the </w:t>
      </w:r>
      <w:r w:rsidR="00DF0439" w:rsidRPr="00EF2C3F">
        <w:t xml:space="preserve">D.C. Circuit </w:t>
      </w:r>
      <w:r w:rsidR="00C77E79">
        <w:t xml:space="preserve">Court of Appeals </w:t>
      </w:r>
      <w:r w:rsidR="0026249F">
        <w:t>issued a</w:t>
      </w:r>
      <w:r w:rsidR="0026249F" w:rsidRPr="00EF2C3F">
        <w:t xml:space="preserve"> </w:t>
      </w:r>
      <w:r w:rsidR="00DF0439" w:rsidRPr="00EF2C3F">
        <w:t>decision</w:t>
      </w:r>
      <w:r w:rsidR="0026249F">
        <w:t xml:space="preserve"> holding that the </w:t>
      </w:r>
      <w:r w:rsidR="00356561">
        <w:t xml:space="preserve">specific </w:t>
      </w:r>
      <w:r w:rsidR="0026249F">
        <w:t xml:space="preserve">provisions </w:t>
      </w:r>
      <w:r w:rsidR="00356561">
        <w:t>for PM</w:t>
      </w:r>
      <w:r w:rsidR="00356561" w:rsidRPr="00356561">
        <w:rPr>
          <w:vertAlign w:val="subscript"/>
        </w:rPr>
        <w:t>10</w:t>
      </w:r>
      <w:r w:rsidR="00356561">
        <w:rPr>
          <w:vertAlign w:val="subscript"/>
        </w:rPr>
        <w:t xml:space="preserve"> </w:t>
      </w:r>
      <w:r w:rsidR="00356561" w:rsidRPr="00E7741F">
        <w:t>nonattainment areas</w:t>
      </w:r>
      <w:r w:rsidR="00356561">
        <w:t xml:space="preserve">, which are found in </w:t>
      </w:r>
      <w:r w:rsidR="00253D14">
        <w:t>Part D, Subpart 4 of the Act</w:t>
      </w:r>
      <w:r w:rsidR="00356561">
        <w:t xml:space="preserve">, also </w:t>
      </w:r>
      <w:r w:rsidR="00752449">
        <w:t>apply</w:t>
      </w:r>
      <w:r w:rsidR="00356561">
        <w:t xml:space="preserve"> to </w:t>
      </w:r>
      <w:r w:rsidR="00C77E79" w:rsidRPr="00EF2C3F">
        <w:t>PM</w:t>
      </w:r>
      <w:r w:rsidR="00C77E79" w:rsidRPr="00EF2C3F">
        <w:rPr>
          <w:vertAlign w:val="subscript"/>
        </w:rPr>
        <w:t>2.5</w:t>
      </w:r>
      <w:r w:rsidR="00C77E79" w:rsidRPr="00EF2C3F">
        <w:t xml:space="preserve"> </w:t>
      </w:r>
      <w:r w:rsidR="00C77E79">
        <w:t>nonattainment</w:t>
      </w:r>
      <w:r w:rsidR="00356561">
        <w:t xml:space="preserve"> areas. </w:t>
      </w:r>
      <w:r w:rsidR="0026249F">
        <w:t xml:space="preserve">These provisions require </w:t>
      </w:r>
      <w:r w:rsidR="00253D14">
        <w:t xml:space="preserve">EPA to </w:t>
      </w:r>
      <w:r w:rsidR="00752449">
        <w:t>classify</w:t>
      </w:r>
      <w:r w:rsidR="0026249F">
        <w:t xml:space="preserve"> </w:t>
      </w:r>
      <w:r w:rsidR="00752449">
        <w:t xml:space="preserve">a </w:t>
      </w:r>
      <w:r w:rsidR="0026249F">
        <w:t>PM nonattainment area</w:t>
      </w:r>
      <w:r w:rsidR="00752449">
        <w:t xml:space="preserve"> as “moderate” at the time it is designated </w:t>
      </w:r>
      <w:r w:rsidR="00CB641A">
        <w:t>nonattainment</w:t>
      </w:r>
      <w:r w:rsidR="00752449">
        <w:t xml:space="preserve">. If the area cannot attain the NAAQS by the attainment date, then EPA is required to </w:t>
      </w:r>
      <w:r w:rsidR="00752449">
        <w:lastRenderedPageBreak/>
        <w:t xml:space="preserve">reclassify the area as “serious.” </w:t>
      </w:r>
      <w:r w:rsidR="0026249F">
        <w:t>On June 2, 2014,</w:t>
      </w:r>
      <w:r w:rsidR="00E85D82">
        <w:t xml:space="preserve"> </w:t>
      </w:r>
      <w:r w:rsidR="00C15686">
        <w:t xml:space="preserve">the </w:t>
      </w:r>
      <w:r w:rsidR="00DF0439" w:rsidRPr="00EF2C3F">
        <w:t xml:space="preserve">EPA </w:t>
      </w:r>
      <w:r w:rsidR="00BD6306" w:rsidRPr="00EF2C3F">
        <w:t xml:space="preserve">classified the </w:t>
      </w:r>
      <w:r w:rsidR="001D76E1" w:rsidRPr="00113E09">
        <w:rPr>
          <w:rFonts w:cs="Times New Roman"/>
        </w:rPr>
        <w:t>SLC NAA</w:t>
      </w:r>
      <w:r w:rsidR="00BD6306" w:rsidRPr="00113E09">
        <w:t xml:space="preserve"> </w:t>
      </w:r>
      <w:r w:rsidR="00BD6306" w:rsidRPr="00EF2C3F">
        <w:t xml:space="preserve">as </w:t>
      </w:r>
      <w:r w:rsidR="0026249F">
        <w:t xml:space="preserve">a </w:t>
      </w:r>
      <w:r w:rsidR="00F53B3A">
        <w:t>m</w:t>
      </w:r>
      <w:r w:rsidR="00BD6306" w:rsidRPr="00E85D82">
        <w:t xml:space="preserve">oderate </w:t>
      </w:r>
      <w:r w:rsidR="00C15686">
        <w:t>n</w:t>
      </w:r>
      <w:r w:rsidR="0026249F" w:rsidRPr="00EF2C3F">
        <w:t xml:space="preserve">onattainment </w:t>
      </w:r>
      <w:r w:rsidR="00C15686">
        <w:t>a</w:t>
      </w:r>
      <w:r w:rsidR="0026249F">
        <w:t>rea</w:t>
      </w:r>
      <w:r w:rsidR="00DF0439" w:rsidRPr="00EF2C3F">
        <w:t xml:space="preserve"> with an attainment </w:t>
      </w:r>
      <w:r w:rsidR="00BD6306" w:rsidRPr="00EF2C3F">
        <w:t>date of December 31, 2015.</w:t>
      </w:r>
      <w:r w:rsidR="008B7BE7" w:rsidRPr="00EF2C3F">
        <w:t xml:space="preserve"> </w:t>
      </w:r>
    </w:p>
    <w:p w14:paraId="2F38145A" w14:textId="0A47E945" w:rsidR="009E6213" w:rsidRPr="00113E09" w:rsidRDefault="00725F77" w:rsidP="009E6213">
      <w:pPr>
        <w:rPr>
          <w:rFonts w:cs="Times New Roman"/>
        </w:rPr>
      </w:pPr>
      <w:r w:rsidRPr="00EF2C3F">
        <w:t>The Act requires areas failing to meet the federal ambient PM</w:t>
      </w:r>
      <w:r w:rsidRPr="00EF2C3F">
        <w:rPr>
          <w:vertAlign w:val="subscript"/>
        </w:rPr>
        <w:t>2.5</w:t>
      </w:r>
      <w:r w:rsidRPr="00EF2C3F">
        <w:t xml:space="preserve"> standard to devel</w:t>
      </w:r>
      <w:r w:rsidR="00611537">
        <w:t>op a SIP</w:t>
      </w:r>
      <w:r w:rsidRPr="00EF2C3F">
        <w:t xml:space="preserve"> with sufficient </w:t>
      </w:r>
      <w:r w:rsidRPr="00113E09">
        <w:t>control requirements to expeditiously attain and maintain the standard.</w:t>
      </w:r>
      <w:r w:rsidR="002E3034" w:rsidRPr="00113E09">
        <w:t xml:space="preserve"> </w:t>
      </w:r>
      <w:r w:rsidR="002E3034" w:rsidRPr="00113E09">
        <w:rPr>
          <w:rFonts w:cs="Times New Roman"/>
        </w:rPr>
        <w:t xml:space="preserve">On December 22, 2014, </w:t>
      </w:r>
      <w:r w:rsidR="00C77E79" w:rsidRPr="00113E09">
        <w:rPr>
          <w:rFonts w:cs="Times New Roman"/>
        </w:rPr>
        <w:t xml:space="preserve">UDAQ </w:t>
      </w:r>
      <w:r w:rsidR="002E3034" w:rsidRPr="00113E09">
        <w:rPr>
          <w:rFonts w:cs="Times New Roman"/>
        </w:rPr>
        <w:t xml:space="preserve">submitted a moderate area </w:t>
      </w:r>
      <w:r w:rsidR="009E6213" w:rsidRPr="00113E09">
        <w:rPr>
          <w:rFonts w:cs="Times New Roman"/>
        </w:rPr>
        <w:t>nonattainment SIP</w:t>
      </w:r>
      <w:r w:rsidR="002E3034" w:rsidRPr="00113E09">
        <w:rPr>
          <w:rFonts w:cs="Times New Roman"/>
        </w:rPr>
        <w:t xml:space="preserve"> for the SLC NAA.</w:t>
      </w:r>
      <w:r w:rsidR="005A6037" w:rsidRPr="00113E09">
        <w:rPr>
          <w:rStyle w:val="FootnoteReference"/>
          <w:rFonts w:cs="Times New Roman"/>
        </w:rPr>
        <w:footnoteReference w:id="3"/>
      </w:r>
      <w:r w:rsidR="00C77E79" w:rsidRPr="00113E09">
        <w:rPr>
          <w:rFonts w:cs="Times New Roman"/>
        </w:rPr>
        <w:t xml:space="preserve"> </w:t>
      </w:r>
      <w:r w:rsidR="009E6213" w:rsidRPr="00113E09">
        <w:rPr>
          <w:rFonts w:cs="Times New Roman"/>
        </w:rPr>
        <w:t xml:space="preserve"> The modeled attainment demonstration underlying the </w:t>
      </w:r>
      <w:r w:rsidR="00981497" w:rsidRPr="00113E09">
        <w:rPr>
          <w:rFonts w:cs="Times New Roman"/>
        </w:rPr>
        <w:t>m</w:t>
      </w:r>
      <w:r w:rsidR="009E6213" w:rsidRPr="00113E09">
        <w:rPr>
          <w:rFonts w:cs="Times New Roman"/>
        </w:rPr>
        <w:t>oderate SIP assessed the likelihood of attainment by the applicable attainment date of December 31, 2015</w:t>
      </w:r>
      <w:r w:rsidR="003E4B3B" w:rsidRPr="00113E09">
        <w:rPr>
          <w:rFonts w:cs="Times New Roman"/>
        </w:rPr>
        <w:t>,</w:t>
      </w:r>
      <w:r w:rsidR="009E6213" w:rsidRPr="00113E09">
        <w:rPr>
          <w:rFonts w:cs="Times New Roman"/>
        </w:rPr>
        <w:t xml:space="preserve"> and concluded that it would be impracticable to do so.</w:t>
      </w:r>
    </w:p>
    <w:p w14:paraId="157186C2" w14:textId="10585AE4" w:rsidR="009E6213" w:rsidRPr="00113E09" w:rsidRDefault="009E6213" w:rsidP="009E6213">
      <w:pPr>
        <w:rPr>
          <w:rFonts w:cs="Times New Roman"/>
        </w:rPr>
      </w:pPr>
      <w:r w:rsidRPr="00113E09">
        <w:rPr>
          <w:rFonts w:cs="Times New Roman"/>
        </w:rPr>
        <w:t xml:space="preserve">After reaching the statutory attainment date, the EPA was compelled to determine whether the area had or had not achieved compliance with the standard by evaluating the prior three years of quality assured data. </w:t>
      </w:r>
      <w:r w:rsidR="002E3034" w:rsidRPr="00113E09">
        <w:rPr>
          <w:rFonts w:cs="Times New Roman"/>
        </w:rPr>
        <w:t xml:space="preserve">On May 10, 2017, EPA determined that the SLC NAA did not reach attainment of the 2006 24-hour standard by the attainment date </w:t>
      </w:r>
      <w:r w:rsidRPr="00113E09">
        <w:rPr>
          <w:rFonts w:cs="Times New Roman"/>
        </w:rPr>
        <w:t>(89 FR 21711)</w:t>
      </w:r>
      <w:r w:rsidR="002E3034" w:rsidRPr="00113E09">
        <w:rPr>
          <w:rFonts w:cs="Times New Roman"/>
        </w:rPr>
        <w:t>.</w:t>
      </w:r>
      <w:r w:rsidRPr="00113E09">
        <w:rPr>
          <w:rFonts w:cs="Times New Roman"/>
        </w:rPr>
        <w:t xml:space="preserve"> </w:t>
      </w:r>
      <w:r w:rsidR="002E3034" w:rsidRPr="00113E09">
        <w:rPr>
          <w:rFonts w:cs="Times New Roman"/>
        </w:rPr>
        <w:t>EPA subsequently reclassified the</w:t>
      </w:r>
      <w:r w:rsidRPr="00113E09">
        <w:rPr>
          <w:rFonts w:cs="Times New Roman"/>
        </w:rPr>
        <w:t xml:space="preserve"> SLC NAA from a </w:t>
      </w:r>
      <w:r w:rsidR="00981497" w:rsidRPr="00113E09">
        <w:rPr>
          <w:rFonts w:cs="Times New Roman"/>
        </w:rPr>
        <w:t>m</w:t>
      </w:r>
      <w:r w:rsidRPr="00113E09">
        <w:rPr>
          <w:rFonts w:cs="Times New Roman"/>
        </w:rPr>
        <w:t xml:space="preserve">oderate </w:t>
      </w:r>
      <w:r w:rsidR="007E7565" w:rsidRPr="00113E09">
        <w:t>PM</w:t>
      </w:r>
      <w:r w:rsidR="007E7565" w:rsidRPr="00113E09">
        <w:rPr>
          <w:vertAlign w:val="subscript"/>
        </w:rPr>
        <w:t>2.5</w:t>
      </w:r>
      <w:r w:rsidRPr="00113E09">
        <w:rPr>
          <w:rFonts w:cs="Times New Roman"/>
          <w:sz w:val="14"/>
          <w:szCs w:val="14"/>
        </w:rPr>
        <w:t xml:space="preserve"> </w:t>
      </w:r>
      <w:r w:rsidRPr="00113E09">
        <w:rPr>
          <w:rFonts w:cs="Times New Roman"/>
        </w:rPr>
        <w:t xml:space="preserve">nonattainment area to a </w:t>
      </w:r>
      <w:r w:rsidR="00542D13" w:rsidRPr="00113E09">
        <w:rPr>
          <w:rFonts w:cs="Times New Roman"/>
        </w:rPr>
        <w:t>s</w:t>
      </w:r>
      <w:r w:rsidRPr="00113E09">
        <w:rPr>
          <w:rFonts w:cs="Times New Roman"/>
        </w:rPr>
        <w:t xml:space="preserve">erious </w:t>
      </w:r>
      <w:r w:rsidR="007E7565" w:rsidRPr="00113E09">
        <w:t>PM</w:t>
      </w:r>
      <w:r w:rsidR="007E7565" w:rsidRPr="00113E09">
        <w:rPr>
          <w:vertAlign w:val="subscript"/>
        </w:rPr>
        <w:t>2.5</w:t>
      </w:r>
      <w:r w:rsidRPr="00113E09">
        <w:rPr>
          <w:rFonts w:cs="Times New Roman"/>
        </w:rPr>
        <w:t xml:space="preserve"> nonattainment area on June 9, 2017.</w:t>
      </w:r>
    </w:p>
    <w:p w14:paraId="3F4B6D95" w14:textId="690DD4AF" w:rsidR="00C41D25" w:rsidRPr="00113E09" w:rsidRDefault="009E6213" w:rsidP="00C41D25">
      <w:pPr>
        <w:rPr>
          <w:rFonts w:cs="Times New Roman"/>
        </w:rPr>
      </w:pPr>
      <w:r w:rsidRPr="00113E09">
        <w:rPr>
          <w:rFonts w:cs="Times New Roman"/>
        </w:rPr>
        <w:t xml:space="preserve">Under </w:t>
      </w:r>
      <w:r w:rsidR="002C5DCE" w:rsidRPr="00113E09">
        <w:rPr>
          <w:rFonts w:cs="Times New Roman"/>
        </w:rPr>
        <w:t xml:space="preserve">Subpart </w:t>
      </w:r>
      <w:r w:rsidRPr="00113E09">
        <w:rPr>
          <w:rFonts w:cs="Times New Roman"/>
        </w:rPr>
        <w:t xml:space="preserve">4 of the Act, </w:t>
      </w:r>
      <w:r w:rsidR="00542D13" w:rsidRPr="00113E09">
        <w:rPr>
          <w:rFonts w:cs="Times New Roman"/>
        </w:rPr>
        <w:t>s</w:t>
      </w:r>
      <w:r w:rsidRPr="00113E09">
        <w:rPr>
          <w:rFonts w:cs="Times New Roman"/>
        </w:rPr>
        <w:t xml:space="preserve">erious PM nonattainment areas require, in addition to the provisions submitted to meet the </w:t>
      </w:r>
      <w:r w:rsidR="00981497" w:rsidRPr="00113E09">
        <w:rPr>
          <w:rFonts w:cs="Times New Roman"/>
        </w:rPr>
        <w:t>m</w:t>
      </w:r>
      <w:r w:rsidRPr="00113E09">
        <w:rPr>
          <w:rFonts w:cs="Times New Roman"/>
        </w:rPr>
        <w:t xml:space="preserve">oderate area planning requirements, the submittal of a SIP revision that: 1)  provides for attainment of the applicable NAAQS no later than the end of the </w:t>
      </w:r>
      <w:r w:rsidR="00C15686" w:rsidRPr="00113E09">
        <w:rPr>
          <w:rFonts w:cs="Times New Roman"/>
        </w:rPr>
        <w:t>10</w:t>
      </w:r>
      <w:r w:rsidR="00C15686" w:rsidRPr="00113E09">
        <w:rPr>
          <w:rFonts w:cs="Times New Roman"/>
          <w:vertAlign w:val="superscript"/>
        </w:rPr>
        <w:t>th</w:t>
      </w:r>
      <w:r w:rsidRPr="00113E09">
        <w:rPr>
          <w:rFonts w:cs="Times New Roman"/>
          <w:sz w:val="14"/>
          <w:szCs w:val="14"/>
        </w:rPr>
        <w:t xml:space="preserve"> </w:t>
      </w:r>
      <w:r w:rsidRPr="00113E09">
        <w:rPr>
          <w:rFonts w:cs="Times New Roman"/>
        </w:rPr>
        <w:t>calendar year after the area’s designation as nonattainment (December 31, 2019</w:t>
      </w:r>
      <w:r w:rsidR="003E4B3B" w:rsidRPr="00113E09">
        <w:rPr>
          <w:rFonts w:cs="Times New Roman"/>
        </w:rPr>
        <w:t>,</w:t>
      </w:r>
      <w:r w:rsidRPr="00113E09">
        <w:rPr>
          <w:rFonts w:cs="Times New Roman"/>
        </w:rPr>
        <w:t xml:space="preserve"> for the SLC NAA), and 2) includes provisions to assure that the </w:t>
      </w:r>
      <w:r w:rsidR="003E4B3B" w:rsidRPr="00113E09">
        <w:rPr>
          <w:rFonts w:cs="Times New Roman"/>
        </w:rPr>
        <w:t>b</w:t>
      </w:r>
      <w:r w:rsidRPr="00113E09">
        <w:rPr>
          <w:rFonts w:cs="Times New Roman"/>
        </w:rPr>
        <w:t xml:space="preserve">est </w:t>
      </w:r>
      <w:r w:rsidR="003E4B3B" w:rsidRPr="00113E09">
        <w:rPr>
          <w:rFonts w:cs="Times New Roman"/>
        </w:rPr>
        <w:t>a</w:t>
      </w:r>
      <w:r w:rsidRPr="00113E09">
        <w:rPr>
          <w:rFonts w:cs="Times New Roman"/>
        </w:rPr>
        <w:t>vailable</w:t>
      </w:r>
      <w:r w:rsidR="00740F59" w:rsidRPr="00113E09">
        <w:rPr>
          <w:rFonts w:cs="Times New Roman"/>
        </w:rPr>
        <w:t xml:space="preserve"> </w:t>
      </w:r>
      <w:r w:rsidR="003E4B3B" w:rsidRPr="00113E09">
        <w:rPr>
          <w:rFonts w:cs="Times New Roman"/>
        </w:rPr>
        <w:t>c</w:t>
      </w:r>
      <w:r w:rsidRPr="00113E09">
        <w:rPr>
          <w:rFonts w:cs="Times New Roman"/>
        </w:rPr>
        <w:t xml:space="preserve">ontrol </w:t>
      </w:r>
      <w:r w:rsidR="003E4B3B" w:rsidRPr="00113E09">
        <w:rPr>
          <w:rFonts w:cs="Times New Roman"/>
        </w:rPr>
        <w:t>m</w:t>
      </w:r>
      <w:r w:rsidRPr="00113E09">
        <w:rPr>
          <w:rFonts w:cs="Times New Roman"/>
        </w:rPr>
        <w:t xml:space="preserve">easures (BACM) for the control </w:t>
      </w:r>
      <w:r w:rsidRPr="00113E09">
        <w:t>of PM</w:t>
      </w:r>
      <w:r w:rsidR="00AE2C58" w:rsidRPr="00113E09">
        <w:rPr>
          <w:vertAlign w:val="subscript"/>
        </w:rPr>
        <w:t>2.5</w:t>
      </w:r>
      <w:r w:rsidR="00740F59" w:rsidRPr="00113E09">
        <w:t xml:space="preserve"> and its precursors </w:t>
      </w:r>
      <w:r w:rsidRPr="00113E09">
        <w:t>shall be implemented no later than four years after the date the area is re-classified</w:t>
      </w:r>
      <w:r w:rsidRPr="00113E09">
        <w:rPr>
          <w:rFonts w:cs="Times New Roman"/>
        </w:rPr>
        <w:t xml:space="preserve"> as a </w:t>
      </w:r>
      <w:r w:rsidR="00542D13" w:rsidRPr="00113E09">
        <w:rPr>
          <w:rFonts w:cs="Times New Roman"/>
        </w:rPr>
        <w:t>s</w:t>
      </w:r>
      <w:r w:rsidRPr="00113E09">
        <w:rPr>
          <w:rFonts w:cs="Times New Roman"/>
        </w:rPr>
        <w:t xml:space="preserve">erious </w:t>
      </w:r>
      <w:r w:rsidR="003E4B3B" w:rsidRPr="00113E09">
        <w:rPr>
          <w:rFonts w:cs="Times New Roman"/>
        </w:rPr>
        <w:t>a</w:t>
      </w:r>
      <w:r w:rsidRPr="00113E09">
        <w:rPr>
          <w:rFonts w:cs="Times New Roman"/>
        </w:rPr>
        <w:t>rea (June 9, 2021</w:t>
      </w:r>
      <w:r w:rsidR="003E4B3B" w:rsidRPr="00113E09">
        <w:rPr>
          <w:rFonts w:cs="Times New Roman"/>
        </w:rPr>
        <w:t>,</w:t>
      </w:r>
      <w:r w:rsidRPr="00113E09">
        <w:rPr>
          <w:rFonts w:cs="Times New Roman"/>
        </w:rPr>
        <w:t xml:space="preserve"> for the SLC NAA).</w:t>
      </w:r>
      <w:bookmarkStart w:id="4" w:name="_Hlk6401385"/>
      <w:r w:rsidR="00EA6EB8" w:rsidRPr="00113E09">
        <w:rPr>
          <w:rFonts w:cs="Times New Roman"/>
        </w:rPr>
        <w:t xml:space="preserve"> </w:t>
      </w:r>
      <w:r w:rsidR="00C41D25" w:rsidRPr="00113E09">
        <w:rPr>
          <w:rFonts w:cs="Times New Roman"/>
        </w:rPr>
        <w:t xml:space="preserve">To fulfill the </w:t>
      </w:r>
      <w:r w:rsidR="00C15686" w:rsidRPr="00113E09">
        <w:rPr>
          <w:rFonts w:cs="Times New Roman"/>
        </w:rPr>
        <w:t xml:space="preserve">Subpart </w:t>
      </w:r>
      <w:r w:rsidR="00C41D25" w:rsidRPr="00113E09">
        <w:rPr>
          <w:rFonts w:cs="Times New Roman"/>
        </w:rPr>
        <w:t xml:space="preserve">4 requirements, </w:t>
      </w:r>
      <w:r w:rsidR="00D77441" w:rsidRPr="00113E09">
        <w:rPr>
          <w:rFonts w:cs="Times New Roman"/>
        </w:rPr>
        <w:t xml:space="preserve">Utah submitted a </w:t>
      </w:r>
      <w:r w:rsidR="00542D13" w:rsidRPr="00113E09">
        <w:rPr>
          <w:rFonts w:cs="Times New Roman"/>
        </w:rPr>
        <w:t>s</w:t>
      </w:r>
      <w:r w:rsidR="00D77441" w:rsidRPr="00113E09">
        <w:rPr>
          <w:rFonts w:cs="Times New Roman"/>
        </w:rPr>
        <w:t>erious SIP</w:t>
      </w:r>
      <w:r w:rsidR="002B6399" w:rsidRPr="00113E09">
        <w:rPr>
          <w:rFonts w:cs="Times New Roman"/>
        </w:rPr>
        <w:t xml:space="preserve"> to EPA</w:t>
      </w:r>
      <w:r w:rsidR="00C41D25" w:rsidRPr="00113E09">
        <w:rPr>
          <w:rFonts w:cs="Times New Roman"/>
        </w:rPr>
        <w:t xml:space="preserve">, including </w:t>
      </w:r>
      <w:r w:rsidR="00C15686" w:rsidRPr="00113E09">
        <w:rPr>
          <w:rFonts w:cs="Times New Roman"/>
        </w:rPr>
        <w:t xml:space="preserve">a </w:t>
      </w:r>
      <w:r w:rsidR="00C41D25" w:rsidRPr="00113E09">
        <w:rPr>
          <w:rFonts w:cs="Times New Roman"/>
        </w:rPr>
        <w:t>BACM</w:t>
      </w:r>
      <w:r w:rsidR="002B6399" w:rsidRPr="00113E09">
        <w:rPr>
          <w:rFonts w:cs="Times New Roman"/>
        </w:rPr>
        <w:t xml:space="preserve"> analysis</w:t>
      </w:r>
      <w:r w:rsidR="00C41D25" w:rsidRPr="00113E09">
        <w:rPr>
          <w:rFonts w:cs="Times New Roman"/>
        </w:rPr>
        <w:t>, on February 15, 2019</w:t>
      </w:r>
      <w:r w:rsidR="00C15686" w:rsidRPr="00113E09">
        <w:rPr>
          <w:rFonts w:cs="Times New Roman"/>
        </w:rPr>
        <w:t>,</w:t>
      </w:r>
      <w:r w:rsidR="00C41D25" w:rsidRPr="00113E09">
        <w:rPr>
          <w:rFonts w:cs="Times New Roman"/>
        </w:rPr>
        <w:t xml:space="preserve"> </w:t>
      </w:r>
      <w:r w:rsidR="00D77441" w:rsidRPr="00113E09">
        <w:rPr>
          <w:rFonts w:cs="Times New Roman"/>
        </w:rPr>
        <w:t>that demonstrates attainment of the PM</w:t>
      </w:r>
      <w:r w:rsidR="00D77441" w:rsidRPr="00113E09">
        <w:rPr>
          <w:rFonts w:cs="Times New Roman"/>
          <w:vertAlign w:val="subscript"/>
        </w:rPr>
        <w:t>2.5</w:t>
      </w:r>
      <w:r w:rsidR="00D77441" w:rsidRPr="00113E09">
        <w:rPr>
          <w:rFonts w:cs="Times New Roman"/>
        </w:rPr>
        <w:t xml:space="preserve"> NAAQS by December 31, 2019. </w:t>
      </w:r>
      <w:r w:rsidR="002B6399" w:rsidRPr="00113E09">
        <w:rPr>
          <w:rFonts w:cs="Times New Roman"/>
        </w:rPr>
        <w:t>EPA SIP approval is</w:t>
      </w:r>
      <w:r w:rsidR="00FC2783" w:rsidRPr="00113E09">
        <w:rPr>
          <w:rFonts w:cs="Times New Roman"/>
        </w:rPr>
        <w:t xml:space="preserve"> discussed in more detail in IX.A.36.b(2).</w:t>
      </w:r>
    </w:p>
    <w:bookmarkEnd w:id="4"/>
    <w:p w14:paraId="4BB7D44E" w14:textId="17F8BC45" w:rsidR="00500C75" w:rsidRPr="00113E09" w:rsidRDefault="00500C75" w:rsidP="00500C75">
      <w:pPr>
        <w:rPr>
          <w:rFonts w:cs="Times New Roman"/>
        </w:rPr>
      </w:pPr>
      <w:r w:rsidRPr="00113E09">
        <w:rPr>
          <w:rFonts w:cs="Times New Roman"/>
        </w:rPr>
        <w:t>The statutory attainment date for the SLC NAA is December 31, 2019. Under the 24-hour PM</w:t>
      </w:r>
      <w:r w:rsidRPr="00113E09">
        <w:rPr>
          <w:rFonts w:cs="Times New Roman"/>
          <w:vertAlign w:val="subscript"/>
        </w:rPr>
        <w:t xml:space="preserve">2.5 </w:t>
      </w:r>
      <w:r w:rsidRPr="00113E09">
        <w:rPr>
          <w:rFonts w:cs="Times New Roman"/>
        </w:rPr>
        <w:t>NAAQS, compliance is determined by the average of three years of 98</w:t>
      </w:r>
      <w:r w:rsidRPr="00113E09">
        <w:rPr>
          <w:rFonts w:cs="Times New Roman"/>
          <w:vertAlign w:val="superscript"/>
        </w:rPr>
        <w:t>th</w:t>
      </w:r>
      <w:r w:rsidRPr="00113E09">
        <w:rPr>
          <w:rFonts w:cs="Times New Roman"/>
        </w:rPr>
        <w:t xml:space="preserve"> percentile values. On </w:t>
      </w:r>
      <w:r w:rsidR="005C2BF5" w:rsidRPr="00113E09">
        <w:rPr>
          <w:rFonts w:cs="Times New Roman"/>
        </w:rPr>
        <w:t>June 5</w:t>
      </w:r>
      <w:r w:rsidRPr="00113E09">
        <w:rPr>
          <w:rFonts w:cs="Times New Roman"/>
        </w:rPr>
        <w:t>, 2019 (</w:t>
      </w:r>
      <w:r w:rsidR="005C2BF5" w:rsidRPr="00113E09">
        <w:rPr>
          <w:rFonts w:cs="Times New Roman"/>
        </w:rPr>
        <w:t>84</w:t>
      </w:r>
      <w:r w:rsidRPr="00113E09">
        <w:rPr>
          <w:rFonts w:cs="Times New Roman"/>
        </w:rPr>
        <w:t xml:space="preserve"> FR </w:t>
      </w:r>
      <w:r w:rsidR="005C2BF5" w:rsidRPr="00113E09">
        <w:rPr>
          <w:rFonts w:cs="Times New Roman"/>
        </w:rPr>
        <w:t>26053</w:t>
      </w:r>
      <w:r w:rsidRPr="00113E09">
        <w:rPr>
          <w:rFonts w:cs="Times New Roman"/>
        </w:rPr>
        <w:t xml:space="preserve">), the EPA published a </w:t>
      </w:r>
      <w:r w:rsidR="005C2BF5" w:rsidRPr="00113E09">
        <w:rPr>
          <w:rFonts w:cs="Times New Roman"/>
        </w:rPr>
        <w:t>proposed rule in the Federal Register</w:t>
      </w:r>
      <w:r w:rsidRPr="00113E09">
        <w:rPr>
          <w:rFonts w:cs="Times New Roman"/>
        </w:rPr>
        <w:t xml:space="preserve"> based on the validated data from 2016-2018, </w:t>
      </w:r>
      <w:r w:rsidR="00695E80" w:rsidRPr="00113E09">
        <w:rPr>
          <w:rFonts w:cs="Times New Roman"/>
        </w:rPr>
        <w:t xml:space="preserve">that </w:t>
      </w:r>
      <w:r w:rsidRPr="00113E09">
        <w:rPr>
          <w:rFonts w:cs="Times New Roman"/>
        </w:rPr>
        <w:t xml:space="preserve">the </w:t>
      </w:r>
      <w:r w:rsidR="00695E80" w:rsidRPr="00113E09">
        <w:rPr>
          <w:rFonts w:cs="Times New Roman"/>
        </w:rPr>
        <w:t>SLC NAA</w:t>
      </w:r>
      <w:r w:rsidRPr="00113E09">
        <w:rPr>
          <w:rFonts w:cs="Times New Roman"/>
        </w:rPr>
        <w:t xml:space="preserve"> attained the 2006 primary and secondary 24-hour PM</w:t>
      </w:r>
      <w:r w:rsidRPr="00113E09">
        <w:rPr>
          <w:rFonts w:cs="Times New Roman"/>
          <w:vertAlign w:val="subscript"/>
        </w:rPr>
        <w:t xml:space="preserve">2.5 </w:t>
      </w:r>
      <w:r w:rsidRPr="00113E09">
        <w:rPr>
          <w:rFonts w:cs="Times New Roman"/>
        </w:rPr>
        <w:t>NAAQS</w:t>
      </w:r>
      <w:r w:rsidR="00331760" w:rsidRPr="00113E09">
        <w:rPr>
          <w:rFonts w:cs="Times New Roman"/>
        </w:rPr>
        <w:t xml:space="preserve"> prior to the 2019 attainment date.</w:t>
      </w:r>
      <w:r w:rsidR="005C2BF5" w:rsidRPr="00113E09">
        <w:rPr>
          <w:rFonts w:cs="Times New Roman"/>
        </w:rPr>
        <w:t xml:space="preserve"> </w:t>
      </w:r>
      <w:r w:rsidR="00331760" w:rsidRPr="00113E09">
        <w:t xml:space="preserve">The purpose of this SIP submittal is to </w:t>
      </w:r>
      <w:r w:rsidR="00C15686" w:rsidRPr="00113E09">
        <w:t xml:space="preserve">demonstrate that the SLC NAA is eligible for </w:t>
      </w:r>
      <w:r w:rsidR="00331760" w:rsidRPr="00113E09">
        <w:t xml:space="preserve">redesignation to attainment </w:t>
      </w:r>
      <w:r w:rsidR="00C15686" w:rsidRPr="00113E09">
        <w:t xml:space="preserve">(IX.A.36.b) </w:t>
      </w:r>
      <w:r w:rsidR="00331760" w:rsidRPr="00113E09">
        <w:t xml:space="preserve">and document a </w:t>
      </w:r>
      <w:r w:rsidR="006C613B" w:rsidRPr="00113E09">
        <w:t>ten-year</w:t>
      </w:r>
      <w:r w:rsidR="00331760" w:rsidRPr="00113E09">
        <w:t xml:space="preserve"> maintenance plan</w:t>
      </w:r>
      <w:r w:rsidR="00C15686" w:rsidRPr="00113E09">
        <w:t xml:space="preserve"> (IX.A.36.c)</w:t>
      </w:r>
      <w:r w:rsidR="00331760" w:rsidRPr="00113E09">
        <w:t>.</w:t>
      </w:r>
    </w:p>
    <w:p w14:paraId="665892BE" w14:textId="35CEB6CF" w:rsidR="004C1422" w:rsidRPr="00EF2C3F" w:rsidRDefault="00E77169" w:rsidP="00601196">
      <w:pPr>
        <w:pStyle w:val="Heading1"/>
        <w:numPr>
          <w:ilvl w:val="0"/>
          <w:numId w:val="0"/>
        </w:numPr>
      </w:pPr>
      <w:bookmarkStart w:id="5" w:name="_Toc17268955"/>
      <w:r>
        <w:t>IX.A.36</w:t>
      </w:r>
      <w:r w:rsidR="0048689A">
        <w:t>.b</w:t>
      </w:r>
      <w:r w:rsidR="0048689A" w:rsidRPr="00196516">
        <w:t xml:space="preserve"> </w:t>
      </w:r>
      <w:r w:rsidR="00601196">
        <w:t>Redesignation Requirements</w:t>
      </w:r>
      <w:bookmarkEnd w:id="5"/>
    </w:p>
    <w:p w14:paraId="6F027E21" w14:textId="3C5B520C" w:rsidR="00DE4DA8" w:rsidRDefault="005F7C91" w:rsidP="00E875DA">
      <w:r w:rsidRPr="00EF2C3F">
        <w:t xml:space="preserve">Section 107(d)(3)(E) of the Act outlines five requirements that </w:t>
      </w:r>
      <w:r w:rsidR="00C91C47">
        <w:t>a nonattainment area must satisfy</w:t>
      </w:r>
      <w:r w:rsidRPr="00EF2C3F">
        <w:t xml:space="preserve"> </w:t>
      </w:r>
      <w:r w:rsidR="000259EE">
        <w:t>before</w:t>
      </w:r>
      <w:r w:rsidRPr="00EF2C3F">
        <w:t xml:space="preserve"> </w:t>
      </w:r>
      <w:r w:rsidR="00C91C47">
        <w:t>an area</w:t>
      </w:r>
      <w:r w:rsidRPr="00EF2C3F">
        <w:t xml:space="preserve"> may </w:t>
      </w:r>
      <w:r w:rsidR="000259EE">
        <w:t>be eligible for</w:t>
      </w:r>
      <w:r w:rsidRPr="00EF2C3F">
        <w:t xml:space="preserve"> </w:t>
      </w:r>
      <w:r w:rsidR="000259EE">
        <w:t xml:space="preserve">redesignation from nonattainment to </w:t>
      </w:r>
      <w:r w:rsidRPr="00EF2C3F">
        <w:t>attainment.</w:t>
      </w:r>
      <w:r w:rsidR="00281385">
        <w:t xml:space="preserve"> </w:t>
      </w:r>
      <w:r w:rsidR="00930C14">
        <w:t>Table IX.A.36</w:t>
      </w:r>
      <w:r w:rsidR="002E648D" w:rsidRPr="00500D1A">
        <w:t xml:space="preserve">.1 identifies the </w:t>
      </w:r>
      <w:r w:rsidR="006B312B">
        <w:t>redesignation</w:t>
      </w:r>
      <w:r w:rsidR="00C91C47">
        <w:t xml:space="preserve"> requirements as they are stated in</w:t>
      </w:r>
      <w:r w:rsidR="002E648D" w:rsidRPr="00EF2C3F">
        <w:t xml:space="preserve"> Section 107(d)(3)(E) of the Act. </w:t>
      </w:r>
      <w:bookmarkStart w:id="6" w:name="_Hlk16180058"/>
      <w:r w:rsidR="00931DEB">
        <w:t>Each element will be addressed in turn, with t</w:t>
      </w:r>
      <w:r w:rsidR="00931DEB" w:rsidRPr="00EF2C3F">
        <w:t>he central element</w:t>
      </w:r>
      <w:r w:rsidR="00931DEB">
        <w:t xml:space="preserve"> being </w:t>
      </w:r>
      <w:r w:rsidR="00931DEB" w:rsidRPr="00500D1A">
        <w:t xml:space="preserve">the maintenance </w:t>
      </w:r>
      <w:r w:rsidR="00931DEB">
        <w:t xml:space="preserve">plan found in </w:t>
      </w:r>
      <w:bookmarkEnd w:id="6"/>
      <w:r w:rsidR="00931DEB">
        <w:t>Subsection IX.A.36</w:t>
      </w:r>
      <w:r w:rsidR="00931DEB" w:rsidRPr="00500D1A">
        <w:t>.c below.</w:t>
      </w:r>
    </w:p>
    <w:p w14:paraId="1926614C" w14:textId="77777777" w:rsidR="00803F37" w:rsidRDefault="00803F37" w:rsidP="00E875DA"/>
    <w:tbl>
      <w:tblPr>
        <w:tblW w:w="0" w:type="auto"/>
        <w:tblInd w:w="-90" w:type="dxa"/>
        <w:tblBorders>
          <w:top w:val="single" w:sz="6" w:space="0" w:color="000000"/>
          <w:bottom w:val="single" w:sz="6" w:space="0" w:color="000000"/>
          <w:insideH w:val="single" w:sz="6" w:space="0" w:color="000000"/>
        </w:tblBorders>
        <w:tblLayout w:type="fixed"/>
        <w:tblCellMar>
          <w:left w:w="0" w:type="dxa"/>
          <w:right w:w="0" w:type="dxa"/>
        </w:tblCellMar>
        <w:tblLook w:val="0000" w:firstRow="0" w:lastRow="0" w:firstColumn="0" w:lastColumn="0" w:noHBand="0" w:noVBand="0"/>
      </w:tblPr>
      <w:tblGrid>
        <w:gridCol w:w="1554"/>
        <w:gridCol w:w="4409"/>
        <w:gridCol w:w="1800"/>
        <w:gridCol w:w="1327"/>
      </w:tblGrid>
      <w:tr w:rsidR="00551E92" w:rsidRPr="00551E92" w14:paraId="31E8E48B" w14:textId="77777777" w:rsidTr="00931DEB">
        <w:trPr>
          <w:cantSplit/>
        </w:trPr>
        <w:tc>
          <w:tcPr>
            <w:tcW w:w="1554" w:type="dxa"/>
            <w:shd w:val="clear" w:color="auto" w:fill="D9D9D9" w:themeFill="background1" w:themeFillShade="D9"/>
          </w:tcPr>
          <w:p w14:paraId="4DADA289"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t>Category</w:t>
            </w:r>
          </w:p>
        </w:tc>
        <w:tc>
          <w:tcPr>
            <w:tcW w:w="4409" w:type="dxa"/>
            <w:shd w:val="clear" w:color="auto" w:fill="D9D9D9" w:themeFill="background1" w:themeFillShade="D9"/>
          </w:tcPr>
          <w:p w14:paraId="19414700"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t>Requirement</w:t>
            </w:r>
          </w:p>
        </w:tc>
        <w:tc>
          <w:tcPr>
            <w:tcW w:w="1800" w:type="dxa"/>
            <w:shd w:val="clear" w:color="auto" w:fill="D9D9D9" w:themeFill="background1" w:themeFillShade="D9"/>
          </w:tcPr>
          <w:p w14:paraId="784D8DAF"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t>Reference</w:t>
            </w:r>
          </w:p>
        </w:tc>
        <w:tc>
          <w:tcPr>
            <w:tcW w:w="1327" w:type="dxa"/>
            <w:shd w:val="clear" w:color="auto" w:fill="D9D9D9" w:themeFill="background1" w:themeFillShade="D9"/>
          </w:tcPr>
          <w:p w14:paraId="524165BD"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t>Addressed in Section</w:t>
            </w:r>
          </w:p>
        </w:tc>
      </w:tr>
      <w:tr w:rsidR="00551E92" w:rsidRPr="00551E92" w14:paraId="372795B7" w14:textId="77777777" w:rsidTr="00725287">
        <w:trPr>
          <w:cantSplit/>
        </w:trPr>
        <w:tc>
          <w:tcPr>
            <w:tcW w:w="1554" w:type="dxa"/>
          </w:tcPr>
          <w:p w14:paraId="4E947D04"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Attainment of Standard</w:t>
            </w:r>
          </w:p>
        </w:tc>
        <w:tc>
          <w:tcPr>
            <w:tcW w:w="4409" w:type="dxa"/>
          </w:tcPr>
          <w:p w14:paraId="318CD819" w14:textId="2C951C75"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Three consecutive years of </w:t>
            </w:r>
            <w:r w:rsidR="0082090D" w:rsidRPr="00725287">
              <w:rPr>
                <w:rFonts w:ascii="Arial" w:hAnsi="Arial" w:cs="Arial"/>
                <w:sz w:val="20"/>
                <w:szCs w:val="20"/>
              </w:rPr>
              <w:t>PM</w:t>
            </w:r>
            <w:r w:rsidR="0082090D" w:rsidRPr="00725287">
              <w:rPr>
                <w:rFonts w:ascii="Arial" w:hAnsi="Arial" w:cs="Arial"/>
                <w:sz w:val="20"/>
                <w:szCs w:val="20"/>
                <w:vertAlign w:val="subscript"/>
              </w:rPr>
              <w:t>2.5</w:t>
            </w:r>
            <w:r w:rsidRPr="00725287">
              <w:rPr>
                <w:rFonts w:ascii="Arial" w:eastAsia="Times New Roman" w:hAnsi="Arial" w:cs="Arial"/>
                <w:sz w:val="20"/>
                <w:szCs w:val="20"/>
              </w:rPr>
              <w:t xml:space="preserve"> monitoring data must show that violations of the standard are no longer occurring  </w:t>
            </w:r>
          </w:p>
        </w:tc>
        <w:tc>
          <w:tcPr>
            <w:tcW w:w="1800" w:type="dxa"/>
          </w:tcPr>
          <w:p w14:paraId="034B022A"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CAA §107(d)(3)(E)(i) </w:t>
            </w:r>
          </w:p>
        </w:tc>
        <w:tc>
          <w:tcPr>
            <w:tcW w:w="1327" w:type="dxa"/>
          </w:tcPr>
          <w:p w14:paraId="6F9EB8E1" w14:textId="77777777"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930C14">
              <w:rPr>
                <w:rFonts w:ascii="Arial" w:eastAsia="Times New Roman" w:hAnsi="Arial" w:cs="Arial"/>
                <w:sz w:val="20"/>
                <w:szCs w:val="20"/>
              </w:rPr>
              <w:t>36</w:t>
            </w:r>
            <w:r w:rsidRPr="00725287">
              <w:rPr>
                <w:rFonts w:ascii="Arial" w:eastAsia="Times New Roman" w:hAnsi="Arial" w:cs="Arial"/>
                <w:sz w:val="20"/>
                <w:szCs w:val="20"/>
              </w:rPr>
              <w:t>.b(1)</w:t>
            </w:r>
          </w:p>
        </w:tc>
      </w:tr>
      <w:tr w:rsidR="00551E92" w:rsidRPr="00551E92" w14:paraId="281F31DC" w14:textId="77777777" w:rsidTr="00725287">
        <w:trPr>
          <w:cantSplit/>
        </w:trPr>
        <w:tc>
          <w:tcPr>
            <w:tcW w:w="1554" w:type="dxa"/>
          </w:tcPr>
          <w:p w14:paraId="04A74F59" w14:textId="77777777" w:rsidR="00551E92" w:rsidRPr="00725287" w:rsidRDefault="00551E92" w:rsidP="00FB1FA6">
            <w:pPr>
              <w:spacing w:after="0" w:line="240" w:lineRule="auto"/>
              <w:rPr>
                <w:rFonts w:ascii="Arial" w:eastAsia="Times New Roman" w:hAnsi="Arial" w:cs="Arial"/>
                <w:sz w:val="20"/>
                <w:szCs w:val="20"/>
              </w:rPr>
            </w:pPr>
            <w:r w:rsidRPr="00725287">
              <w:rPr>
                <w:rFonts w:ascii="Arial" w:eastAsia="Times New Roman" w:hAnsi="Arial" w:cs="Arial"/>
                <w:sz w:val="20"/>
                <w:szCs w:val="20"/>
              </w:rPr>
              <w:t>Approved S</w:t>
            </w:r>
            <w:r w:rsidR="00FB1FA6" w:rsidRPr="00725287">
              <w:rPr>
                <w:rFonts w:ascii="Arial" w:eastAsia="Times New Roman" w:hAnsi="Arial" w:cs="Arial"/>
                <w:sz w:val="20"/>
                <w:szCs w:val="20"/>
              </w:rPr>
              <w:t>IP</w:t>
            </w:r>
          </w:p>
        </w:tc>
        <w:tc>
          <w:tcPr>
            <w:tcW w:w="4409" w:type="dxa"/>
          </w:tcPr>
          <w:p w14:paraId="219BAFD9" w14:textId="6F717DB5"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The </w:t>
            </w:r>
            <w:r w:rsidR="00383724">
              <w:rPr>
                <w:rFonts w:ascii="Arial" w:eastAsia="Times New Roman" w:hAnsi="Arial" w:cs="Arial"/>
                <w:sz w:val="20"/>
                <w:szCs w:val="20"/>
              </w:rPr>
              <w:t xml:space="preserve">attainment </w:t>
            </w:r>
            <w:r w:rsidRPr="00725287">
              <w:rPr>
                <w:rFonts w:ascii="Arial" w:eastAsia="Times New Roman" w:hAnsi="Arial" w:cs="Arial"/>
                <w:sz w:val="20"/>
                <w:szCs w:val="20"/>
              </w:rPr>
              <w:t>SIP for the area must be fully approved</w:t>
            </w:r>
          </w:p>
        </w:tc>
        <w:tc>
          <w:tcPr>
            <w:tcW w:w="1800" w:type="dxa"/>
          </w:tcPr>
          <w:p w14:paraId="6CB5D93E"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§107(d)(3)(E)(ii)</w:t>
            </w:r>
          </w:p>
          <w:p w14:paraId="175C0F52" w14:textId="77777777" w:rsidR="00551E92" w:rsidRPr="00725287" w:rsidRDefault="00551E92" w:rsidP="00551E92">
            <w:pPr>
              <w:spacing w:after="0" w:line="240" w:lineRule="auto"/>
              <w:rPr>
                <w:rFonts w:ascii="Arial" w:eastAsia="Times New Roman" w:hAnsi="Arial" w:cs="Arial"/>
                <w:sz w:val="20"/>
                <w:szCs w:val="20"/>
              </w:rPr>
            </w:pPr>
          </w:p>
        </w:tc>
        <w:tc>
          <w:tcPr>
            <w:tcW w:w="1327" w:type="dxa"/>
          </w:tcPr>
          <w:p w14:paraId="41C47091" w14:textId="77777777"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930C14">
              <w:rPr>
                <w:rFonts w:ascii="Arial" w:eastAsia="Times New Roman" w:hAnsi="Arial" w:cs="Arial"/>
                <w:sz w:val="20"/>
                <w:szCs w:val="20"/>
              </w:rPr>
              <w:t>36</w:t>
            </w:r>
            <w:r w:rsidRPr="00725287">
              <w:rPr>
                <w:rFonts w:ascii="Arial" w:eastAsia="Times New Roman" w:hAnsi="Arial" w:cs="Arial"/>
                <w:sz w:val="20"/>
                <w:szCs w:val="20"/>
              </w:rPr>
              <w:t>.b(2)</w:t>
            </w:r>
          </w:p>
        </w:tc>
      </w:tr>
      <w:tr w:rsidR="00551E92" w:rsidRPr="00551E92" w14:paraId="0FF6D26C" w14:textId="77777777" w:rsidTr="00725287">
        <w:trPr>
          <w:cantSplit/>
        </w:trPr>
        <w:tc>
          <w:tcPr>
            <w:tcW w:w="1554" w:type="dxa"/>
          </w:tcPr>
          <w:p w14:paraId="4FC88DD4"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Permanent and Enforceable Emissions Reductions </w:t>
            </w:r>
          </w:p>
        </w:tc>
        <w:tc>
          <w:tcPr>
            <w:tcW w:w="4409" w:type="dxa"/>
          </w:tcPr>
          <w:p w14:paraId="5BF5CDBD"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The State must be able to reasonably attribute the improvement in air quality to emission reductions that are permanent and enforceable</w:t>
            </w:r>
          </w:p>
        </w:tc>
        <w:tc>
          <w:tcPr>
            <w:tcW w:w="1800" w:type="dxa"/>
          </w:tcPr>
          <w:p w14:paraId="7FE2AFB0"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§107(d)(3)(E)(iii), Calcagni memo (Sect 3, para 2)</w:t>
            </w:r>
          </w:p>
          <w:p w14:paraId="367ADF96" w14:textId="77777777" w:rsidR="00551E92" w:rsidRPr="00725287" w:rsidRDefault="00551E92" w:rsidP="00551E92">
            <w:pPr>
              <w:spacing w:after="0" w:line="240" w:lineRule="auto"/>
              <w:rPr>
                <w:rFonts w:ascii="Arial" w:eastAsia="Times New Roman" w:hAnsi="Arial" w:cs="Arial"/>
                <w:sz w:val="20"/>
                <w:szCs w:val="20"/>
              </w:rPr>
            </w:pPr>
          </w:p>
        </w:tc>
        <w:tc>
          <w:tcPr>
            <w:tcW w:w="1327" w:type="dxa"/>
          </w:tcPr>
          <w:p w14:paraId="22E03FA8" w14:textId="77777777"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930C14">
              <w:rPr>
                <w:rFonts w:ascii="Arial" w:eastAsia="Times New Roman" w:hAnsi="Arial" w:cs="Arial"/>
                <w:sz w:val="20"/>
                <w:szCs w:val="20"/>
              </w:rPr>
              <w:t>36</w:t>
            </w:r>
            <w:r w:rsidRPr="00725287">
              <w:rPr>
                <w:rFonts w:ascii="Arial" w:eastAsia="Times New Roman" w:hAnsi="Arial" w:cs="Arial"/>
                <w:sz w:val="20"/>
                <w:szCs w:val="20"/>
              </w:rPr>
              <w:t>.b(3)</w:t>
            </w:r>
          </w:p>
        </w:tc>
      </w:tr>
      <w:tr w:rsidR="00551E92" w:rsidRPr="00551E92" w14:paraId="083C6EBE" w14:textId="77777777" w:rsidTr="00725287">
        <w:trPr>
          <w:cantSplit/>
        </w:trPr>
        <w:tc>
          <w:tcPr>
            <w:tcW w:w="1554" w:type="dxa"/>
          </w:tcPr>
          <w:p w14:paraId="0AF32A2B"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Section 110 and Part D requirements</w:t>
            </w:r>
          </w:p>
        </w:tc>
        <w:tc>
          <w:tcPr>
            <w:tcW w:w="4409" w:type="dxa"/>
          </w:tcPr>
          <w:p w14:paraId="2DA55830" w14:textId="6FF07459"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The State must verify that the area has met all requirements applicable to the area under section 110 and Part D</w:t>
            </w:r>
          </w:p>
        </w:tc>
        <w:tc>
          <w:tcPr>
            <w:tcW w:w="1800" w:type="dxa"/>
          </w:tcPr>
          <w:p w14:paraId="3B34F57E"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§107(d)(3)(E)(v), §110(a)(2), Sec 171</w:t>
            </w:r>
          </w:p>
        </w:tc>
        <w:tc>
          <w:tcPr>
            <w:tcW w:w="1327" w:type="dxa"/>
          </w:tcPr>
          <w:p w14:paraId="79BAA442" w14:textId="77777777"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930C14">
              <w:rPr>
                <w:rFonts w:ascii="Arial" w:eastAsia="Times New Roman" w:hAnsi="Arial" w:cs="Arial"/>
                <w:sz w:val="20"/>
                <w:szCs w:val="20"/>
              </w:rPr>
              <w:t>36</w:t>
            </w:r>
            <w:r w:rsidRPr="00725287">
              <w:rPr>
                <w:rFonts w:ascii="Arial" w:eastAsia="Times New Roman" w:hAnsi="Arial" w:cs="Arial"/>
                <w:sz w:val="20"/>
                <w:szCs w:val="20"/>
              </w:rPr>
              <w:t>.b(4)</w:t>
            </w:r>
          </w:p>
        </w:tc>
      </w:tr>
      <w:tr w:rsidR="00551E92" w:rsidRPr="00551E92" w14:paraId="2728E8C0" w14:textId="77777777" w:rsidTr="00725287">
        <w:trPr>
          <w:cantSplit/>
        </w:trPr>
        <w:tc>
          <w:tcPr>
            <w:tcW w:w="1554" w:type="dxa"/>
          </w:tcPr>
          <w:p w14:paraId="11711EC2"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Maintenance Plan</w:t>
            </w:r>
          </w:p>
        </w:tc>
        <w:tc>
          <w:tcPr>
            <w:tcW w:w="4409" w:type="dxa"/>
          </w:tcPr>
          <w:p w14:paraId="3BB5A0A4"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The Administrator has fully approved the Maintenance Plan for the area as meeting the requirements of CAA §175A</w:t>
            </w:r>
          </w:p>
        </w:tc>
        <w:tc>
          <w:tcPr>
            <w:tcW w:w="1800" w:type="dxa"/>
          </w:tcPr>
          <w:p w14:paraId="41E074D7"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§107(d)(3)(E)(iv)</w:t>
            </w:r>
          </w:p>
        </w:tc>
        <w:tc>
          <w:tcPr>
            <w:tcW w:w="1327" w:type="dxa"/>
          </w:tcPr>
          <w:p w14:paraId="5AEF3DF6" w14:textId="77777777" w:rsidR="00551E92" w:rsidRPr="00725287" w:rsidRDefault="00551E92" w:rsidP="00CE7395">
            <w:pPr>
              <w:keepNext/>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930C14">
              <w:rPr>
                <w:rFonts w:ascii="Arial" w:eastAsia="Times New Roman" w:hAnsi="Arial" w:cs="Arial"/>
                <w:sz w:val="20"/>
                <w:szCs w:val="20"/>
              </w:rPr>
              <w:t>36</w:t>
            </w:r>
            <w:r w:rsidRPr="00725287">
              <w:rPr>
                <w:rFonts w:ascii="Arial" w:eastAsia="Times New Roman" w:hAnsi="Arial" w:cs="Arial"/>
                <w:sz w:val="20"/>
                <w:szCs w:val="20"/>
              </w:rPr>
              <w:t>.b(5) and IX.A.</w:t>
            </w:r>
            <w:r w:rsidR="00930C14">
              <w:rPr>
                <w:rFonts w:ascii="Arial" w:eastAsia="Times New Roman" w:hAnsi="Arial" w:cs="Arial"/>
                <w:sz w:val="20"/>
                <w:szCs w:val="20"/>
              </w:rPr>
              <w:t>36</w:t>
            </w:r>
            <w:r w:rsidRPr="00725287">
              <w:rPr>
                <w:rFonts w:ascii="Arial" w:eastAsia="Times New Roman" w:hAnsi="Arial" w:cs="Arial"/>
                <w:sz w:val="20"/>
                <w:szCs w:val="20"/>
              </w:rPr>
              <w:t>.c</w:t>
            </w:r>
          </w:p>
        </w:tc>
      </w:tr>
    </w:tbl>
    <w:p w14:paraId="2DABD78D" w14:textId="242DA149" w:rsidR="00CE7395" w:rsidRPr="00113E09" w:rsidRDefault="00CE7395">
      <w:pPr>
        <w:pStyle w:val="Caption"/>
        <w:rPr>
          <w:color w:val="auto"/>
        </w:rPr>
      </w:pPr>
      <w:bookmarkStart w:id="7" w:name="_Toc17268991"/>
      <w:bookmarkStart w:id="8" w:name="_Toc10186274"/>
      <w:bookmarkStart w:id="9" w:name="_Toc16156399"/>
      <w:r w:rsidRPr="00113E09">
        <w:rPr>
          <w:color w:val="auto"/>
        </w:rPr>
        <w:t xml:space="preserve">Table IX.A.36. </w:t>
      </w:r>
      <w:r w:rsidR="00767843" w:rsidRPr="00113E09">
        <w:rPr>
          <w:color w:val="auto"/>
        </w:rPr>
        <w:fldChar w:fldCharType="begin"/>
      </w:r>
      <w:r w:rsidR="00767843" w:rsidRPr="00113E09">
        <w:rPr>
          <w:color w:val="auto"/>
        </w:rPr>
        <w:instrText xml:space="preserve"> SEQ Table_IX.A.36. \* ARABIC </w:instrText>
      </w:r>
      <w:r w:rsidR="00767843" w:rsidRPr="00113E09">
        <w:rPr>
          <w:color w:val="auto"/>
        </w:rPr>
        <w:fldChar w:fldCharType="separate"/>
      </w:r>
      <w:r w:rsidR="00767843">
        <w:rPr>
          <w:noProof/>
          <w:color w:val="auto"/>
        </w:rPr>
        <w:t>1</w:t>
      </w:r>
      <w:r w:rsidR="00767843" w:rsidRPr="00113E09">
        <w:rPr>
          <w:noProof/>
          <w:color w:val="auto"/>
        </w:rPr>
        <w:fldChar w:fldCharType="end"/>
      </w:r>
      <w:r w:rsidRPr="00113E09">
        <w:rPr>
          <w:color w:val="auto"/>
        </w:rPr>
        <w:t xml:space="preserve"> Prerequisites to Redesignation in the Federal Clean Air Act</w:t>
      </w:r>
      <w:bookmarkEnd w:id="7"/>
    </w:p>
    <w:p w14:paraId="6807153B" w14:textId="28A9B5B1" w:rsidR="00CA5295" w:rsidRPr="00476B59" w:rsidRDefault="00CA5295" w:rsidP="00CA5295">
      <w:pPr>
        <w:pStyle w:val="Caption"/>
        <w:rPr>
          <w:rFonts w:eastAsia="Times New Roman"/>
        </w:rPr>
      </w:pPr>
    </w:p>
    <w:p w14:paraId="6DB13768" w14:textId="14087EED" w:rsidR="001A7DD4" w:rsidRPr="00986895" w:rsidRDefault="001A7DD4" w:rsidP="001A7DD4">
      <w:pPr>
        <w:pStyle w:val="Heading2"/>
        <w:numPr>
          <w:ilvl w:val="0"/>
          <w:numId w:val="0"/>
        </w:numPr>
        <w:ind w:left="720" w:hanging="360"/>
      </w:pPr>
      <w:bookmarkStart w:id="10" w:name="_Toc16171399"/>
      <w:bookmarkStart w:id="11" w:name="_Toc17268956"/>
      <w:bookmarkEnd w:id="8"/>
      <w:bookmarkEnd w:id="9"/>
      <w:r w:rsidRPr="00986895">
        <w:t xml:space="preserve">(1) </w:t>
      </w:r>
      <w:r>
        <w:t>The Area H</w:t>
      </w:r>
      <w:r w:rsidRPr="00986895">
        <w:t>as Attained the PM</w:t>
      </w:r>
      <w:r w:rsidR="007E7565">
        <w:rPr>
          <w:vertAlign w:val="subscript"/>
        </w:rPr>
        <w:t>2.5</w:t>
      </w:r>
      <w:r w:rsidRPr="00986895">
        <w:t xml:space="preserve"> NAAQS</w:t>
      </w:r>
      <w:bookmarkEnd w:id="10"/>
      <w:bookmarkEnd w:id="11"/>
    </w:p>
    <w:p w14:paraId="17A89509" w14:textId="77777777" w:rsidR="00446FF5" w:rsidRPr="00E875DA" w:rsidRDefault="00446FF5" w:rsidP="00446FF5">
      <w:r w:rsidRPr="00EF2C3F">
        <w:rPr>
          <w:rFonts w:eastAsia="Times New Roman" w:cs="Times New Roman"/>
        </w:rPr>
        <w:t xml:space="preserve">CAA 107(d)(3)(E)(i) – </w:t>
      </w:r>
      <w:r w:rsidRPr="005D365C">
        <w:rPr>
          <w:rFonts w:eastAsia="Times New Roman" w:cs="Times New Roman"/>
          <w:i/>
        </w:rPr>
        <w:t>The Administrator determines that the area has attained the national ambient air quality standard</w:t>
      </w:r>
      <w:r w:rsidRPr="00EF2C3F">
        <w:rPr>
          <w:rFonts w:eastAsia="Times New Roman" w:cs="Times New Roman"/>
        </w:rPr>
        <w:t xml:space="preserve">. </w:t>
      </w:r>
      <w:r w:rsidRPr="00E875DA">
        <w:t xml:space="preserve">To satisfy this requirement, the State must show that the area is </w:t>
      </w:r>
      <w:r w:rsidR="003811E2" w:rsidRPr="00E875DA">
        <w:t>attaining the applicable NAAQS. According to EPA’s guidance</w:t>
      </w:r>
      <w:r w:rsidR="0050263E">
        <w:rPr>
          <w:rStyle w:val="FootnoteReference"/>
        </w:rPr>
        <w:footnoteReference w:id="4"/>
      </w:r>
      <w:r w:rsidR="003811E2" w:rsidRPr="00E875DA">
        <w:t xml:space="preserve"> </w:t>
      </w:r>
      <w:r w:rsidR="00F33E43">
        <w:t>concerning area redesignations</w:t>
      </w:r>
      <w:r w:rsidR="003811E2" w:rsidRPr="00E875DA">
        <w:t>, there are generally two components involved in making this dem</w:t>
      </w:r>
      <w:r w:rsidR="00383724">
        <w:t xml:space="preserve">onstration. </w:t>
      </w:r>
      <w:r w:rsidR="003811E2" w:rsidRPr="00E875DA">
        <w:t>The first relies upon ambient air quality data which should be representative of the area of highest concentration and should be collected and quality assured</w:t>
      </w:r>
      <w:r w:rsidR="00383724">
        <w:t xml:space="preserve"> in accordance with 40 CFR 58. </w:t>
      </w:r>
      <w:r w:rsidR="003811E2" w:rsidRPr="00E875DA">
        <w:t xml:space="preserve">The second component relies upon supplemental air quality modeling.  Each </w:t>
      </w:r>
      <w:r w:rsidR="00B0792D" w:rsidRPr="00E875DA">
        <w:t>component will be addressed</w:t>
      </w:r>
      <w:r w:rsidR="003811E2" w:rsidRPr="00E875DA">
        <w:t xml:space="preserve"> in turn.</w:t>
      </w:r>
    </w:p>
    <w:p w14:paraId="396A3D68" w14:textId="31B3487A" w:rsidR="004C1422" w:rsidRPr="00306BC8" w:rsidRDefault="004C1422" w:rsidP="00306BC8">
      <w:pPr>
        <w:pStyle w:val="Heading3"/>
        <w:numPr>
          <w:ilvl w:val="0"/>
          <w:numId w:val="37"/>
        </w:numPr>
      </w:pPr>
      <w:bookmarkStart w:id="12" w:name="_Toc17268957"/>
      <w:r w:rsidRPr="00306BC8">
        <w:t xml:space="preserve">Ambient Air Quality Data (Monitoring) </w:t>
      </w:r>
      <w:r w:rsidR="00F93D75" w:rsidRPr="00306BC8">
        <w:t>and Utah’s Monitoring Network</w:t>
      </w:r>
      <w:bookmarkEnd w:id="12"/>
    </w:p>
    <w:p w14:paraId="3BC28F08" w14:textId="77777777" w:rsidR="007F7988" w:rsidRPr="00EF2C3F" w:rsidRDefault="008E23BC" w:rsidP="00E875DA">
      <w:r w:rsidRPr="00EF2C3F">
        <w:t xml:space="preserve">The NAAQS for </w:t>
      </w:r>
      <w:r w:rsidR="00DE639D" w:rsidRPr="00EF2C3F">
        <w:t>PM</w:t>
      </w:r>
      <w:r w:rsidR="00DE639D" w:rsidRPr="00EF2C3F">
        <w:rPr>
          <w:vertAlign w:val="subscript"/>
        </w:rPr>
        <w:t>2.5</w:t>
      </w:r>
      <w:r w:rsidR="00DE639D" w:rsidRPr="00EF2C3F">
        <w:t xml:space="preserve"> </w:t>
      </w:r>
      <w:r w:rsidR="00A7796C" w:rsidRPr="00EF2C3F">
        <w:t>are listed in 40 CFR 50.13</w:t>
      </w:r>
      <w:r w:rsidRPr="00EF2C3F">
        <w:t xml:space="preserve">. The </w:t>
      </w:r>
      <w:r w:rsidR="003811E2" w:rsidRPr="00EF2C3F">
        <w:t xml:space="preserve">2006 </w:t>
      </w:r>
      <w:r w:rsidRPr="00EF2C3F">
        <w:t xml:space="preserve">24-hour NAAQS is </w:t>
      </w:r>
      <w:r w:rsidR="0016479E">
        <w:t>35 micrograms per cubic meter (µ</w:t>
      </w:r>
      <w:r w:rsidRPr="00EF2C3F">
        <w:t>g/</w:t>
      </w:r>
      <w:r w:rsidR="001131AB" w:rsidRPr="00EF2C3F">
        <w:t>m</w:t>
      </w:r>
      <w:r w:rsidR="001131AB" w:rsidRPr="00EF2C3F">
        <w:rPr>
          <w:vertAlign w:val="superscript"/>
        </w:rPr>
        <w:t>3</w:t>
      </w:r>
      <w:r w:rsidR="00DE639D" w:rsidRPr="00EF2C3F">
        <w:t>) for a 24-</w:t>
      </w:r>
      <w:r w:rsidR="00A7796C" w:rsidRPr="00EF2C3F">
        <w:t>hour period and</w:t>
      </w:r>
      <w:r w:rsidRPr="00EF2C3F">
        <w:t xml:space="preserve"> is met when the 98</w:t>
      </w:r>
      <w:r w:rsidRPr="00EF2C3F">
        <w:rPr>
          <w:vertAlign w:val="superscript"/>
        </w:rPr>
        <w:t>th</w:t>
      </w:r>
      <w:r w:rsidRPr="00EF2C3F">
        <w:t xml:space="preserve"> percentile 24-hr concentration is less than or equal to 35</w:t>
      </w:r>
      <w:r w:rsidR="0016479E" w:rsidRPr="0016479E">
        <w:t xml:space="preserve"> </w:t>
      </w:r>
      <w:r w:rsidR="0016479E">
        <w:t>µ</w:t>
      </w:r>
      <w:r w:rsidR="0016479E" w:rsidRPr="00EF2C3F">
        <w:t>g</w:t>
      </w:r>
      <w:r w:rsidRPr="00EF2C3F">
        <w:t>/</w:t>
      </w:r>
      <w:r w:rsidR="001131AB" w:rsidRPr="00EF2C3F">
        <w:t>m</w:t>
      </w:r>
      <w:r w:rsidR="001131AB" w:rsidRPr="00EF2C3F">
        <w:rPr>
          <w:vertAlign w:val="superscript"/>
        </w:rPr>
        <w:t>3</w:t>
      </w:r>
      <w:r w:rsidRPr="00EF2C3F">
        <w:t>.</w:t>
      </w:r>
      <w:r w:rsidR="00D538E3" w:rsidRPr="00EF2C3F">
        <w:t xml:space="preserve"> Each year’s 98</w:t>
      </w:r>
      <w:r w:rsidR="00D538E3" w:rsidRPr="003E4B3B">
        <w:rPr>
          <w:vertAlign w:val="superscript"/>
        </w:rPr>
        <w:t xml:space="preserve">th </w:t>
      </w:r>
      <w:r w:rsidR="00D538E3" w:rsidRPr="00EF2C3F">
        <w:t>percentile is the daily value beneath which 98% of all daily values would fall.</w:t>
      </w:r>
      <w:r w:rsidRPr="00EF2C3F">
        <w:t xml:space="preserve"> </w:t>
      </w:r>
      <w:r w:rsidR="00510745" w:rsidRPr="00EF2C3F">
        <w:t xml:space="preserve">The procedure for evaluating </w:t>
      </w:r>
      <w:r w:rsidR="00DE639D" w:rsidRPr="00EF2C3F">
        <w:t>PM</w:t>
      </w:r>
      <w:r w:rsidR="00DE639D" w:rsidRPr="00EF2C3F">
        <w:rPr>
          <w:vertAlign w:val="subscript"/>
        </w:rPr>
        <w:t>2.5</w:t>
      </w:r>
      <w:r w:rsidR="00DE639D" w:rsidRPr="00EF2C3F">
        <w:t xml:space="preserve"> </w:t>
      </w:r>
      <w:r w:rsidR="00510745" w:rsidRPr="00EF2C3F">
        <w:t>data with respect to the NAA</w:t>
      </w:r>
      <w:r w:rsidR="00A7796C" w:rsidRPr="00EF2C3F">
        <w:t>QS is specified in Appendix N of</w:t>
      </w:r>
      <w:r w:rsidR="006E6840" w:rsidRPr="00EF2C3F">
        <w:t xml:space="preserve"> 40 CFR Part 50. </w:t>
      </w:r>
      <w:r w:rsidR="002C069F" w:rsidRPr="00EF2C3F">
        <w:t>Generally speaking, the 24-hr</w:t>
      </w:r>
      <w:r w:rsidR="007F7988" w:rsidRPr="00EF2C3F">
        <w:t xml:space="preserve"> PM</w:t>
      </w:r>
      <w:r w:rsidR="007F7988" w:rsidRPr="00EF2C3F">
        <w:rPr>
          <w:vertAlign w:val="subscript"/>
        </w:rPr>
        <w:t>2.5</w:t>
      </w:r>
      <w:r w:rsidR="007F7988" w:rsidRPr="00EF2C3F">
        <w:t xml:space="preserve"> standard is met when a three-year average of 98</w:t>
      </w:r>
      <w:r w:rsidR="007F7988" w:rsidRPr="00EF2C3F">
        <w:rPr>
          <w:vertAlign w:val="superscript"/>
        </w:rPr>
        <w:t>th</w:t>
      </w:r>
      <w:r w:rsidR="007F7988" w:rsidRPr="00EF2C3F">
        <w:t xml:space="preserve"> percentile values is less than or equal to 35 µg/m</w:t>
      </w:r>
      <w:r w:rsidR="007F7988" w:rsidRPr="00EF2C3F">
        <w:rPr>
          <w:vertAlign w:val="superscript"/>
        </w:rPr>
        <w:t>3</w:t>
      </w:r>
      <w:r w:rsidR="007F7988" w:rsidRPr="00EF2C3F">
        <w:t xml:space="preserve">.  </w:t>
      </w:r>
    </w:p>
    <w:p w14:paraId="31F5EDFD" w14:textId="77777777" w:rsidR="00A14EBF" w:rsidRPr="00EF2C3F" w:rsidRDefault="00A14EBF" w:rsidP="00E875DA">
      <w:r w:rsidRPr="00EF2C3F">
        <w:t>PM</w:t>
      </w:r>
      <w:r w:rsidRPr="00EF2C3F">
        <w:rPr>
          <w:vertAlign w:val="subscript"/>
        </w:rPr>
        <w:t>2.5</w:t>
      </w:r>
      <w:r w:rsidR="00D04A9D" w:rsidRPr="00EF2C3F">
        <w:t xml:space="preserve"> has been monitored in Utah</w:t>
      </w:r>
      <w:r w:rsidRPr="00EF2C3F">
        <w:t xml:space="preserve"> since 2000, followin</w:t>
      </w:r>
      <w:r w:rsidR="00C93E26" w:rsidRPr="00EF2C3F">
        <w:t xml:space="preserve">g the promulgation of the 1997 </w:t>
      </w:r>
      <w:r w:rsidRPr="00EF2C3F">
        <w:t>PM</w:t>
      </w:r>
      <w:r w:rsidRPr="00EF2C3F">
        <w:rPr>
          <w:vertAlign w:val="subscript"/>
        </w:rPr>
        <w:t>2.5</w:t>
      </w:r>
      <w:r w:rsidRPr="00EF2C3F">
        <w:t xml:space="preserve"> NAAQS.</w:t>
      </w:r>
      <w:r w:rsidR="00336283" w:rsidRPr="00EF2C3F">
        <w:t xml:space="preserve"> </w:t>
      </w:r>
      <w:r w:rsidR="00B0792D">
        <w:t>U</w:t>
      </w:r>
      <w:r w:rsidRPr="00EF2C3F">
        <w:t>DAQ’s monitors are appropriately located to assess concentration, trends, and changes in PM</w:t>
      </w:r>
      <w:r w:rsidRPr="00EF2C3F">
        <w:rPr>
          <w:vertAlign w:val="subscript"/>
        </w:rPr>
        <w:t>2.5</w:t>
      </w:r>
      <w:r w:rsidR="00336283" w:rsidRPr="00EF2C3F">
        <w:t xml:space="preserve"> </w:t>
      </w:r>
      <w:r w:rsidR="00336283" w:rsidRPr="00EF2C3F">
        <w:lastRenderedPageBreak/>
        <w:t xml:space="preserve">concentrations. </w:t>
      </w:r>
      <w:r w:rsidRPr="00EF2C3F">
        <w:t>During Utah’s wintertime t</w:t>
      </w:r>
      <w:r w:rsidR="00F462C8" w:rsidRPr="00EF2C3F">
        <w:t>emperature inversions, daily</w:t>
      </w:r>
      <w:r w:rsidRPr="00EF2C3F">
        <w:t xml:space="preserve"> sampling and</w:t>
      </w:r>
      <w:r w:rsidR="00D04A9D" w:rsidRPr="00EF2C3F">
        <w:t xml:space="preserve"> real time monitoring are necessary for both</w:t>
      </w:r>
      <w:r w:rsidRPr="00EF2C3F">
        <w:t xml:space="preserve"> public notification</w:t>
      </w:r>
      <w:r w:rsidR="00D04A9D" w:rsidRPr="00EF2C3F">
        <w:t xml:space="preserve"> and to provide data for the air quality models</w:t>
      </w:r>
      <w:r w:rsidRPr="00EF2C3F">
        <w:t xml:space="preserve">.  </w:t>
      </w:r>
    </w:p>
    <w:p w14:paraId="42B7D2B5" w14:textId="1B1601AB" w:rsidR="00A14EBF" w:rsidRDefault="00A14EBF" w:rsidP="00E875DA">
      <w:r w:rsidRPr="00EF2C3F">
        <w:t xml:space="preserve">The </w:t>
      </w:r>
      <w:r w:rsidR="00383724">
        <w:t xml:space="preserve">UDAQ </w:t>
      </w:r>
      <w:r w:rsidRPr="00EF2C3F">
        <w:t xml:space="preserve">Air Monitoring Section maintains an </w:t>
      </w:r>
      <w:r w:rsidRPr="00500D1A">
        <w:t xml:space="preserve">ambient air monitoring network in Utah </w:t>
      </w:r>
      <w:r w:rsidR="00215EB0">
        <w:t xml:space="preserve">in </w:t>
      </w:r>
      <w:r w:rsidR="00132CF8" w:rsidRPr="00500D1A">
        <w:rPr>
          <w:rFonts w:eastAsia="Times New Roman"/>
        </w:rPr>
        <w:t xml:space="preserve">accordance with 40 CFR 58 </w:t>
      </w:r>
      <w:r w:rsidRPr="00500D1A">
        <w:t>that collects both air quality and meteorological data</w:t>
      </w:r>
      <w:r w:rsidRPr="00113E09">
        <w:t xml:space="preserve">. </w:t>
      </w:r>
      <w:r w:rsidR="00930C14" w:rsidRPr="00113E09">
        <w:t>Figure IX.A.36</w:t>
      </w:r>
      <w:r w:rsidR="00500D1A" w:rsidRPr="00113E09">
        <w:t>.</w:t>
      </w:r>
      <w:r w:rsidR="00B967FE" w:rsidRPr="00113E09">
        <w:t>1</w:t>
      </w:r>
      <w:r w:rsidRPr="00113E09">
        <w:t xml:space="preserve"> </w:t>
      </w:r>
      <w:r w:rsidR="0094419A">
        <w:t xml:space="preserve">on the following page </w:t>
      </w:r>
      <w:r w:rsidRPr="00500D1A">
        <w:t>shows the location of sites along the Wasatch Front and in the Cache Valley that collect PM</w:t>
      </w:r>
      <w:r w:rsidRPr="00500D1A">
        <w:rPr>
          <w:vertAlign w:val="subscript"/>
        </w:rPr>
        <w:t>2.5</w:t>
      </w:r>
      <w:r w:rsidRPr="00500D1A">
        <w:t xml:space="preserve"> data.</w:t>
      </w:r>
      <w:r w:rsidR="00F9305A" w:rsidRPr="00500D1A">
        <w:t xml:space="preserve"> </w:t>
      </w:r>
      <w:r w:rsidRPr="00500D1A">
        <w:t xml:space="preserve">The ambient air quality monitoring network along Utah’s Wasatch Front and in the Cache Valley is routinely </w:t>
      </w:r>
      <w:r w:rsidRPr="00EF2C3F">
        <w:t>audited by the EPA, and meets the agency’s requirements for air monitoring networks.</w:t>
      </w:r>
    </w:p>
    <w:p w14:paraId="1E4D4EB0" w14:textId="77777777" w:rsidR="009F01B8" w:rsidRDefault="0031307D" w:rsidP="009F01B8">
      <w:pPr>
        <w:keepNext/>
      </w:pPr>
      <w:r>
        <w:rPr>
          <w:noProof/>
        </w:rPr>
        <w:lastRenderedPageBreak/>
        <w:drawing>
          <wp:inline distT="0" distB="0" distL="0" distR="0" wp14:anchorId="7DD68125" wp14:editId="6B5D21C8">
            <wp:extent cx="5200650" cy="705810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PM2.5SIPmonitors_v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0094" cy="7070923"/>
                    </a:xfrm>
                    <a:prstGeom prst="rect">
                      <a:avLst/>
                    </a:prstGeom>
                  </pic:spPr>
                </pic:pic>
              </a:graphicData>
            </a:graphic>
          </wp:inline>
        </w:drawing>
      </w:r>
    </w:p>
    <w:p w14:paraId="77321B15" w14:textId="66B5F3E2" w:rsidR="0031307D" w:rsidRPr="00113E09" w:rsidRDefault="009F01B8" w:rsidP="009F01B8">
      <w:pPr>
        <w:pStyle w:val="Caption"/>
        <w:rPr>
          <w:color w:val="auto"/>
        </w:rPr>
      </w:pPr>
      <w:bookmarkStart w:id="13" w:name="_Toc17269003"/>
      <w:r w:rsidRPr="00113E09">
        <w:rPr>
          <w:color w:val="auto"/>
        </w:rPr>
        <w:t xml:space="preserve">Figure IX.A.36. </w:t>
      </w:r>
      <w:r w:rsidR="00767843" w:rsidRPr="00113E09">
        <w:rPr>
          <w:color w:val="auto"/>
        </w:rPr>
        <w:fldChar w:fldCharType="begin"/>
      </w:r>
      <w:r w:rsidR="00767843" w:rsidRPr="00113E09">
        <w:rPr>
          <w:color w:val="auto"/>
        </w:rPr>
        <w:instrText xml:space="preserve"> SEQ Figure_IX.A.36. \* ARABIC </w:instrText>
      </w:r>
      <w:r w:rsidR="00767843" w:rsidRPr="00113E09">
        <w:rPr>
          <w:color w:val="auto"/>
        </w:rPr>
        <w:fldChar w:fldCharType="separate"/>
      </w:r>
      <w:r w:rsidR="00767843">
        <w:rPr>
          <w:noProof/>
          <w:color w:val="auto"/>
        </w:rPr>
        <w:t>1</w:t>
      </w:r>
      <w:r w:rsidR="00767843" w:rsidRPr="00113E09">
        <w:rPr>
          <w:noProof/>
          <w:color w:val="auto"/>
        </w:rPr>
        <w:fldChar w:fldCharType="end"/>
      </w:r>
      <w:r w:rsidRPr="00113E09">
        <w:rPr>
          <w:color w:val="auto"/>
        </w:rPr>
        <w:t xml:space="preserve"> Utah’s PM</w:t>
      </w:r>
      <w:r w:rsidRPr="00113E09">
        <w:rPr>
          <w:color w:val="auto"/>
          <w:vertAlign w:val="subscript"/>
        </w:rPr>
        <w:t>2.5</w:t>
      </w:r>
      <w:r w:rsidRPr="00113E09">
        <w:rPr>
          <w:color w:val="auto"/>
        </w:rPr>
        <w:t xml:space="preserve"> Monitoring Network</w:t>
      </w:r>
      <w:bookmarkEnd w:id="13"/>
    </w:p>
    <w:p w14:paraId="08358BF7" w14:textId="77777777" w:rsidR="0031307D" w:rsidRDefault="0031307D" w:rsidP="0094419A"/>
    <w:p w14:paraId="21D20A81" w14:textId="7444FA8F" w:rsidR="0094419A" w:rsidRPr="00D43082" w:rsidRDefault="0094419A" w:rsidP="0094419A">
      <w:r w:rsidRPr="00872D6C">
        <w:t>Data may be flagged when circumstances indicate that it would represent an event in the data set and not be indicative of the entire airshed or the efforts to reasonably mitigate air pollution within.  40 CFR 50.14</w:t>
      </w:r>
      <w:r w:rsidR="00085643">
        <w:t>,</w:t>
      </w:r>
      <w:r w:rsidRPr="00872D6C">
        <w:t xml:space="preserve"> </w:t>
      </w:r>
      <w:r w:rsidRPr="00085643">
        <w:rPr>
          <w:i/>
        </w:rPr>
        <w:lastRenderedPageBreak/>
        <w:t>Treatment of air quality monitoring data influenced by exceptional events</w:t>
      </w:r>
      <w:r w:rsidR="00085643">
        <w:t>,</w:t>
      </w:r>
      <w:r w:rsidRPr="00872D6C">
        <w:t xml:space="preserve"> anticipates this, and says that a State may request EPA to exclude data showing exceedances or violation</w:t>
      </w:r>
      <w:r w:rsidR="00047FAE">
        <w:t>s of any national ambient air quality standard</w:t>
      </w:r>
      <w:r w:rsidRPr="00872D6C">
        <w:t xml:space="preserve"> that are directly due to an </w:t>
      </w:r>
      <w:r w:rsidR="00047FAE">
        <w:t xml:space="preserve">exceptional </w:t>
      </w:r>
      <w:r w:rsidRPr="00872D6C">
        <w:t>event that affects air quality, is not reasonably controllable or preventable, is an event caused by human activity that is unlikely to recur at a particular location or a natural event, from use in determinations</w:t>
      </w:r>
      <w:r>
        <w:t>.</w:t>
      </w:r>
      <w:r w:rsidR="00085643">
        <w:t xml:space="preserve"> </w:t>
      </w:r>
      <w:r w:rsidRPr="00872D6C">
        <w:t xml:space="preserve">The protocol for data handling dictates that flagging is initiated by the state or local </w:t>
      </w:r>
      <w:r w:rsidRPr="00D43082">
        <w:t xml:space="preserve">agency, and then the EPA either concurs or indicates that it has not concurred.  </w:t>
      </w:r>
    </w:p>
    <w:p w14:paraId="11E9B090" w14:textId="2773B626" w:rsidR="0094419A" w:rsidRPr="00113E09" w:rsidRDefault="0094419A" w:rsidP="0094419A">
      <w:r w:rsidRPr="00113E09">
        <w:t>Table IX.A.36.2 below shows the 98</w:t>
      </w:r>
      <w:r w:rsidRPr="00113E09">
        <w:rPr>
          <w:vertAlign w:val="superscript"/>
        </w:rPr>
        <w:t>th</w:t>
      </w:r>
      <w:r w:rsidRPr="00113E09">
        <w:t xml:space="preserve"> percentile values in µg /m</w:t>
      </w:r>
      <w:r w:rsidRPr="00113E09">
        <w:rPr>
          <w:vertAlign w:val="superscript"/>
        </w:rPr>
        <w:t xml:space="preserve">3 </w:t>
      </w:r>
      <w:r w:rsidRPr="00113E09">
        <w:t xml:space="preserve">for </w:t>
      </w:r>
      <w:r w:rsidRPr="00113E09">
        <w:rPr>
          <w:rFonts w:cs="Times New Roman"/>
        </w:rPr>
        <w:t>2016, 2017, and 2018</w:t>
      </w:r>
      <w:r w:rsidRPr="00113E09">
        <w:t xml:space="preserve"> as well as the three-year average of these values. </w:t>
      </w:r>
      <w:r w:rsidRPr="00113E09">
        <w:rPr>
          <w:rFonts w:cs="Times New Roman"/>
        </w:rPr>
        <w:t>The validated data in Table IX.A.36.2</w:t>
      </w:r>
      <w:r w:rsidRPr="00113E09">
        <w:rPr>
          <w:rFonts w:cs="Times New Roman"/>
          <w:b/>
        </w:rPr>
        <w:t xml:space="preserve"> </w:t>
      </w:r>
      <w:r w:rsidRPr="00113E09">
        <w:rPr>
          <w:rFonts w:cs="Times New Roman"/>
        </w:rPr>
        <w:t>excludes values at the Rose Park monitor from a firework event on July 4, 2017</w:t>
      </w:r>
      <w:r w:rsidR="003E4B3B" w:rsidRPr="00113E09">
        <w:rPr>
          <w:rFonts w:cs="Times New Roman"/>
        </w:rPr>
        <w:t xml:space="preserve">, </w:t>
      </w:r>
      <w:r w:rsidRPr="00113E09">
        <w:rPr>
          <w:rFonts w:cs="Times New Roman"/>
        </w:rPr>
        <w:t>and a wildfire exceptional event on September 6, 2017. On May 28, 2019, UDAQ received notice</w:t>
      </w:r>
      <w:r w:rsidRPr="00113E09">
        <w:rPr>
          <w:rStyle w:val="FootnoteReference"/>
          <w:rFonts w:cs="Times New Roman"/>
        </w:rPr>
        <w:footnoteReference w:id="5"/>
      </w:r>
      <w:r w:rsidRPr="00113E09">
        <w:rPr>
          <w:rFonts w:cs="Times New Roman"/>
          <w:vertAlign w:val="superscript"/>
        </w:rPr>
        <w:t>,</w:t>
      </w:r>
      <w:r w:rsidRPr="00113E09">
        <w:rPr>
          <w:rStyle w:val="FootnoteReference"/>
          <w:rFonts w:cs="Times New Roman"/>
        </w:rPr>
        <w:footnoteReference w:id="6"/>
      </w:r>
      <w:r w:rsidRPr="00113E09">
        <w:rPr>
          <w:rFonts w:cs="Times New Roman"/>
        </w:rPr>
        <w:t xml:space="preserve"> that EPA concurred with the State’s flag on both exceptional events. The three-year average, or design value from 2016-2018 was used by EPA in their proposed action of determination of attainment for the SLC NAA (84 FR 26053).</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52"/>
        <w:gridCol w:w="1699"/>
        <w:gridCol w:w="1865"/>
        <w:gridCol w:w="1865"/>
        <w:gridCol w:w="1879"/>
      </w:tblGrid>
      <w:tr w:rsidR="00113E09" w:rsidRPr="00113E09" w14:paraId="6F3F1173" w14:textId="77777777" w:rsidTr="004004CF">
        <w:trPr>
          <w:trHeight w:val="288"/>
        </w:trPr>
        <w:tc>
          <w:tcPr>
            <w:tcW w:w="2088" w:type="dxa"/>
            <w:vAlign w:val="center"/>
          </w:tcPr>
          <w:p w14:paraId="4D27328B" w14:textId="77777777" w:rsidR="0094419A" w:rsidRPr="00113E09" w:rsidRDefault="0094419A" w:rsidP="007560C8">
            <w:pPr>
              <w:rPr>
                <w:rFonts w:ascii="Arial" w:hAnsi="Arial" w:cs="Arial"/>
                <w:sz w:val="20"/>
                <w:szCs w:val="20"/>
              </w:rPr>
            </w:pPr>
          </w:p>
        </w:tc>
        <w:tc>
          <w:tcPr>
            <w:tcW w:w="1742" w:type="dxa"/>
            <w:vAlign w:val="center"/>
          </w:tcPr>
          <w:p w14:paraId="73CADB1B" w14:textId="77777777" w:rsidR="0094419A" w:rsidRPr="00113E09" w:rsidRDefault="0094419A" w:rsidP="007560C8">
            <w:pPr>
              <w:rPr>
                <w:rFonts w:ascii="Arial" w:hAnsi="Arial" w:cs="Arial"/>
                <w:b/>
                <w:sz w:val="20"/>
                <w:szCs w:val="20"/>
              </w:rPr>
            </w:pPr>
            <w:r w:rsidRPr="00113E09">
              <w:rPr>
                <w:rFonts w:ascii="Arial" w:hAnsi="Arial" w:cs="Arial"/>
                <w:b/>
                <w:sz w:val="20"/>
                <w:szCs w:val="20"/>
              </w:rPr>
              <w:t>2016</w:t>
            </w:r>
          </w:p>
        </w:tc>
        <w:tc>
          <w:tcPr>
            <w:tcW w:w="1915" w:type="dxa"/>
            <w:vAlign w:val="center"/>
          </w:tcPr>
          <w:p w14:paraId="48448821" w14:textId="77777777" w:rsidR="0094419A" w:rsidRPr="00113E09" w:rsidRDefault="0094419A" w:rsidP="007560C8">
            <w:pPr>
              <w:rPr>
                <w:rFonts w:ascii="Arial" w:hAnsi="Arial" w:cs="Arial"/>
                <w:b/>
                <w:sz w:val="20"/>
                <w:szCs w:val="20"/>
              </w:rPr>
            </w:pPr>
            <w:r w:rsidRPr="00113E09">
              <w:rPr>
                <w:rFonts w:ascii="Arial" w:hAnsi="Arial" w:cs="Arial"/>
                <w:b/>
                <w:sz w:val="20"/>
                <w:szCs w:val="20"/>
              </w:rPr>
              <w:t>2017</w:t>
            </w:r>
          </w:p>
        </w:tc>
        <w:tc>
          <w:tcPr>
            <w:tcW w:w="1915" w:type="dxa"/>
            <w:vAlign w:val="center"/>
          </w:tcPr>
          <w:p w14:paraId="0827346E" w14:textId="77777777" w:rsidR="0094419A" w:rsidRPr="00113E09" w:rsidRDefault="0094419A" w:rsidP="007560C8">
            <w:pPr>
              <w:rPr>
                <w:rFonts w:ascii="Arial" w:hAnsi="Arial" w:cs="Arial"/>
                <w:b/>
                <w:sz w:val="20"/>
                <w:szCs w:val="20"/>
              </w:rPr>
            </w:pPr>
            <w:r w:rsidRPr="00113E09">
              <w:rPr>
                <w:rFonts w:ascii="Arial" w:hAnsi="Arial" w:cs="Arial"/>
                <w:b/>
                <w:sz w:val="20"/>
                <w:szCs w:val="20"/>
              </w:rPr>
              <w:t>2018</w:t>
            </w:r>
          </w:p>
        </w:tc>
        <w:tc>
          <w:tcPr>
            <w:tcW w:w="1916" w:type="dxa"/>
            <w:vAlign w:val="center"/>
          </w:tcPr>
          <w:p w14:paraId="63131CA7" w14:textId="6ED6685C" w:rsidR="0094419A" w:rsidRPr="00113E09" w:rsidRDefault="00113E09" w:rsidP="007560C8">
            <w:pPr>
              <w:rPr>
                <w:rFonts w:ascii="Arial" w:hAnsi="Arial" w:cs="Arial"/>
                <w:b/>
                <w:sz w:val="20"/>
                <w:szCs w:val="20"/>
              </w:rPr>
            </w:pPr>
            <w:r w:rsidRPr="00113E09">
              <w:rPr>
                <w:rFonts w:ascii="Arial" w:hAnsi="Arial" w:cs="Arial"/>
                <w:b/>
                <w:sz w:val="20"/>
                <w:szCs w:val="20"/>
              </w:rPr>
              <w:t>3-year</w:t>
            </w:r>
            <w:r w:rsidR="0094419A" w:rsidRPr="00113E09">
              <w:rPr>
                <w:rFonts w:ascii="Arial" w:hAnsi="Arial" w:cs="Arial"/>
                <w:b/>
                <w:sz w:val="20"/>
                <w:szCs w:val="20"/>
              </w:rPr>
              <w:t xml:space="preserve"> average</w:t>
            </w:r>
          </w:p>
        </w:tc>
      </w:tr>
      <w:tr w:rsidR="00113E09" w:rsidRPr="00113E09" w14:paraId="16086B23" w14:textId="77777777" w:rsidTr="004004CF">
        <w:trPr>
          <w:trHeight w:val="288"/>
        </w:trPr>
        <w:tc>
          <w:tcPr>
            <w:tcW w:w="2088" w:type="dxa"/>
            <w:vAlign w:val="center"/>
          </w:tcPr>
          <w:p w14:paraId="618D605C" w14:textId="77777777" w:rsidR="0094419A" w:rsidRPr="00113E09" w:rsidRDefault="0094419A" w:rsidP="007560C8">
            <w:pPr>
              <w:rPr>
                <w:rFonts w:ascii="Arial" w:hAnsi="Arial" w:cs="Arial"/>
                <w:b/>
                <w:sz w:val="20"/>
                <w:szCs w:val="20"/>
              </w:rPr>
            </w:pPr>
            <w:r w:rsidRPr="00113E09">
              <w:rPr>
                <w:rFonts w:ascii="Arial" w:hAnsi="Arial" w:cs="Arial"/>
                <w:sz w:val="20"/>
                <w:szCs w:val="20"/>
              </w:rPr>
              <w:t>Brigham City</w:t>
            </w:r>
          </w:p>
        </w:tc>
        <w:tc>
          <w:tcPr>
            <w:tcW w:w="1742" w:type="dxa"/>
            <w:vAlign w:val="center"/>
          </w:tcPr>
          <w:p w14:paraId="07B6A5BB" w14:textId="77777777" w:rsidR="0094419A" w:rsidRPr="00113E09" w:rsidRDefault="0094419A" w:rsidP="007560C8">
            <w:pPr>
              <w:rPr>
                <w:rFonts w:ascii="Arial" w:hAnsi="Arial" w:cs="Arial"/>
                <w:sz w:val="20"/>
                <w:szCs w:val="20"/>
              </w:rPr>
            </w:pPr>
            <w:r w:rsidRPr="00113E09">
              <w:rPr>
                <w:rFonts w:ascii="Arial" w:hAnsi="Arial" w:cs="Arial"/>
                <w:sz w:val="20"/>
                <w:szCs w:val="20"/>
              </w:rPr>
              <w:t>35.0</w:t>
            </w:r>
          </w:p>
        </w:tc>
        <w:tc>
          <w:tcPr>
            <w:tcW w:w="1915" w:type="dxa"/>
            <w:vAlign w:val="center"/>
          </w:tcPr>
          <w:p w14:paraId="0500B787" w14:textId="77777777" w:rsidR="0094419A" w:rsidRPr="00113E09" w:rsidRDefault="0094419A" w:rsidP="007560C8">
            <w:pPr>
              <w:rPr>
                <w:rFonts w:ascii="Arial" w:hAnsi="Arial" w:cs="Arial"/>
                <w:sz w:val="20"/>
                <w:szCs w:val="20"/>
              </w:rPr>
            </w:pPr>
            <w:r w:rsidRPr="00113E09">
              <w:rPr>
                <w:rFonts w:ascii="Arial" w:hAnsi="Arial" w:cs="Arial"/>
                <w:sz w:val="20"/>
                <w:szCs w:val="20"/>
              </w:rPr>
              <w:t>36.2</w:t>
            </w:r>
          </w:p>
        </w:tc>
        <w:tc>
          <w:tcPr>
            <w:tcW w:w="1915" w:type="dxa"/>
            <w:vAlign w:val="center"/>
          </w:tcPr>
          <w:p w14:paraId="078D5930" w14:textId="77777777" w:rsidR="0094419A" w:rsidRPr="00113E09" w:rsidRDefault="0094419A" w:rsidP="007560C8">
            <w:pPr>
              <w:rPr>
                <w:rFonts w:ascii="Arial" w:hAnsi="Arial" w:cs="Arial"/>
                <w:sz w:val="20"/>
                <w:szCs w:val="20"/>
              </w:rPr>
            </w:pPr>
            <w:r w:rsidRPr="00113E09">
              <w:rPr>
                <w:rFonts w:ascii="Arial" w:hAnsi="Arial" w:cs="Arial"/>
                <w:sz w:val="20"/>
                <w:szCs w:val="20"/>
              </w:rPr>
              <w:t>26.2</w:t>
            </w:r>
          </w:p>
        </w:tc>
        <w:tc>
          <w:tcPr>
            <w:tcW w:w="1916" w:type="dxa"/>
            <w:vAlign w:val="center"/>
          </w:tcPr>
          <w:p w14:paraId="54A3412E" w14:textId="77777777" w:rsidR="0094419A" w:rsidRPr="00113E09" w:rsidRDefault="0094419A" w:rsidP="007560C8">
            <w:pPr>
              <w:rPr>
                <w:rFonts w:ascii="Arial" w:hAnsi="Arial" w:cs="Arial"/>
                <w:sz w:val="20"/>
                <w:szCs w:val="20"/>
              </w:rPr>
            </w:pPr>
            <w:r w:rsidRPr="00113E09">
              <w:rPr>
                <w:rFonts w:ascii="Arial" w:hAnsi="Arial" w:cs="Arial"/>
                <w:sz w:val="20"/>
                <w:szCs w:val="20"/>
              </w:rPr>
              <w:t>32.4</w:t>
            </w:r>
          </w:p>
        </w:tc>
      </w:tr>
      <w:tr w:rsidR="00113E09" w:rsidRPr="00113E09" w14:paraId="0A23A925" w14:textId="77777777" w:rsidTr="004004CF">
        <w:trPr>
          <w:trHeight w:val="288"/>
        </w:trPr>
        <w:tc>
          <w:tcPr>
            <w:tcW w:w="2088" w:type="dxa"/>
            <w:vAlign w:val="center"/>
          </w:tcPr>
          <w:p w14:paraId="5C02E6FE" w14:textId="77777777" w:rsidR="0094419A" w:rsidRPr="00113E09" w:rsidRDefault="0094419A" w:rsidP="007560C8">
            <w:pPr>
              <w:rPr>
                <w:rFonts w:ascii="Arial" w:hAnsi="Arial" w:cs="Arial"/>
                <w:b/>
                <w:sz w:val="20"/>
                <w:szCs w:val="20"/>
              </w:rPr>
            </w:pPr>
            <w:r w:rsidRPr="00113E09">
              <w:rPr>
                <w:rFonts w:ascii="Arial" w:hAnsi="Arial" w:cs="Arial"/>
                <w:sz w:val="20"/>
                <w:szCs w:val="20"/>
              </w:rPr>
              <w:t>Ogden 2</w:t>
            </w:r>
          </w:p>
        </w:tc>
        <w:tc>
          <w:tcPr>
            <w:tcW w:w="1742" w:type="dxa"/>
            <w:vAlign w:val="center"/>
          </w:tcPr>
          <w:p w14:paraId="766490D6" w14:textId="77777777" w:rsidR="0094419A" w:rsidRPr="00113E09" w:rsidRDefault="0094419A" w:rsidP="007560C8">
            <w:pPr>
              <w:rPr>
                <w:rFonts w:ascii="Arial" w:hAnsi="Arial" w:cs="Arial"/>
                <w:sz w:val="20"/>
                <w:szCs w:val="20"/>
              </w:rPr>
            </w:pPr>
            <w:r w:rsidRPr="00113E09">
              <w:rPr>
                <w:rFonts w:ascii="Arial" w:hAnsi="Arial" w:cs="Arial"/>
                <w:sz w:val="20"/>
                <w:szCs w:val="20"/>
              </w:rPr>
              <w:t>39.0</w:t>
            </w:r>
          </w:p>
        </w:tc>
        <w:tc>
          <w:tcPr>
            <w:tcW w:w="1915" w:type="dxa"/>
            <w:vAlign w:val="center"/>
          </w:tcPr>
          <w:p w14:paraId="0B155788" w14:textId="77777777" w:rsidR="0094419A" w:rsidRPr="00113E09" w:rsidRDefault="0094419A" w:rsidP="007560C8">
            <w:pPr>
              <w:rPr>
                <w:rFonts w:ascii="Arial" w:hAnsi="Arial" w:cs="Arial"/>
                <w:sz w:val="20"/>
                <w:szCs w:val="20"/>
              </w:rPr>
            </w:pPr>
            <w:r w:rsidRPr="00113E09">
              <w:rPr>
                <w:rFonts w:ascii="Arial" w:hAnsi="Arial" w:cs="Arial"/>
                <w:sz w:val="20"/>
                <w:szCs w:val="20"/>
              </w:rPr>
              <w:t>27.1</w:t>
            </w:r>
          </w:p>
        </w:tc>
        <w:tc>
          <w:tcPr>
            <w:tcW w:w="1915" w:type="dxa"/>
            <w:vAlign w:val="center"/>
          </w:tcPr>
          <w:p w14:paraId="4CCBC490" w14:textId="77777777" w:rsidR="0094419A" w:rsidRPr="00113E09" w:rsidRDefault="0094419A" w:rsidP="007560C8">
            <w:pPr>
              <w:rPr>
                <w:rFonts w:ascii="Arial" w:hAnsi="Arial" w:cs="Arial"/>
                <w:sz w:val="20"/>
                <w:szCs w:val="20"/>
              </w:rPr>
            </w:pPr>
            <w:r w:rsidRPr="00113E09">
              <w:rPr>
                <w:rFonts w:ascii="Arial" w:hAnsi="Arial" w:cs="Arial"/>
                <w:sz w:val="20"/>
                <w:szCs w:val="20"/>
              </w:rPr>
              <w:t>24.6</w:t>
            </w:r>
          </w:p>
        </w:tc>
        <w:tc>
          <w:tcPr>
            <w:tcW w:w="1916" w:type="dxa"/>
            <w:vAlign w:val="center"/>
          </w:tcPr>
          <w:p w14:paraId="40409F14" w14:textId="77777777" w:rsidR="0094419A" w:rsidRPr="00113E09" w:rsidRDefault="0094419A" w:rsidP="007560C8">
            <w:pPr>
              <w:keepNext/>
              <w:rPr>
                <w:rFonts w:ascii="Arial" w:hAnsi="Arial" w:cs="Arial"/>
                <w:sz w:val="20"/>
                <w:szCs w:val="20"/>
              </w:rPr>
            </w:pPr>
            <w:r w:rsidRPr="00113E09">
              <w:rPr>
                <w:rFonts w:ascii="Arial" w:hAnsi="Arial" w:cs="Arial"/>
                <w:sz w:val="20"/>
                <w:szCs w:val="20"/>
              </w:rPr>
              <w:t>30.2</w:t>
            </w:r>
          </w:p>
        </w:tc>
      </w:tr>
      <w:tr w:rsidR="00113E09" w:rsidRPr="00113E09" w14:paraId="5E44D1C2" w14:textId="77777777" w:rsidTr="004004CF">
        <w:trPr>
          <w:trHeight w:val="288"/>
        </w:trPr>
        <w:tc>
          <w:tcPr>
            <w:tcW w:w="2088" w:type="dxa"/>
            <w:vAlign w:val="center"/>
          </w:tcPr>
          <w:p w14:paraId="151CB2FB" w14:textId="77777777" w:rsidR="0094419A" w:rsidRPr="00113E09" w:rsidRDefault="0094419A" w:rsidP="007560C8">
            <w:pPr>
              <w:rPr>
                <w:rFonts w:ascii="Arial" w:hAnsi="Arial" w:cs="Arial"/>
                <w:sz w:val="20"/>
                <w:szCs w:val="20"/>
              </w:rPr>
            </w:pPr>
            <w:r w:rsidRPr="00113E09">
              <w:rPr>
                <w:rFonts w:ascii="Arial" w:hAnsi="Arial" w:cs="Arial"/>
                <w:sz w:val="20"/>
                <w:szCs w:val="20"/>
              </w:rPr>
              <w:t>Bountiful</w:t>
            </w:r>
          </w:p>
        </w:tc>
        <w:tc>
          <w:tcPr>
            <w:tcW w:w="1742" w:type="dxa"/>
            <w:vAlign w:val="center"/>
          </w:tcPr>
          <w:p w14:paraId="090B060D" w14:textId="77777777" w:rsidR="0094419A" w:rsidRPr="00113E09" w:rsidRDefault="0094419A" w:rsidP="007560C8">
            <w:pPr>
              <w:rPr>
                <w:rFonts w:ascii="Arial" w:hAnsi="Arial" w:cs="Arial"/>
                <w:sz w:val="20"/>
                <w:szCs w:val="20"/>
              </w:rPr>
            </w:pPr>
            <w:r w:rsidRPr="00113E09">
              <w:rPr>
                <w:rFonts w:ascii="Arial" w:hAnsi="Arial" w:cs="Arial"/>
                <w:sz w:val="20"/>
                <w:szCs w:val="20"/>
              </w:rPr>
              <w:t>24.7</w:t>
            </w:r>
          </w:p>
        </w:tc>
        <w:tc>
          <w:tcPr>
            <w:tcW w:w="1915" w:type="dxa"/>
            <w:vAlign w:val="center"/>
          </w:tcPr>
          <w:p w14:paraId="06F3E36A" w14:textId="77777777" w:rsidR="0094419A" w:rsidRPr="00113E09" w:rsidRDefault="0094419A" w:rsidP="007560C8">
            <w:pPr>
              <w:rPr>
                <w:rFonts w:ascii="Arial" w:hAnsi="Arial" w:cs="Arial"/>
                <w:sz w:val="20"/>
                <w:szCs w:val="20"/>
              </w:rPr>
            </w:pPr>
            <w:r w:rsidRPr="00113E09">
              <w:rPr>
                <w:rFonts w:ascii="Arial" w:hAnsi="Arial" w:cs="Arial"/>
                <w:sz w:val="20"/>
                <w:szCs w:val="20"/>
              </w:rPr>
              <w:t>35.2</w:t>
            </w:r>
          </w:p>
        </w:tc>
        <w:tc>
          <w:tcPr>
            <w:tcW w:w="1915" w:type="dxa"/>
            <w:vAlign w:val="center"/>
          </w:tcPr>
          <w:p w14:paraId="5567FFF2" w14:textId="77777777" w:rsidR="0094419A" w:rsidRPr="00113E09" w:rsidRDefault="0094419A" w:rsidP="007560C8">
            <w:pPr>
              <w:rPr>
                <w:rFonts w:ascii="Arial" w:hAnsi="Arial" w:cs="Arial"/>
                <w:sz w:val="20"/>
                <w:szCs w:val="20"/>
              </w:rPr>
            </w:pPr>
            <w:r w:rsidRPr="00113E09">
              <w:rPr>
                <w:rFonts w:ascii="Arial" w:hAnsi="Arial" w:cs="Arial"/>
                <w:sz w:val="20"/>
                <w:szCs w:val="20"/>
              </w:rPr>
              <w:t>25.7</w:t>
            </w:r>
          </w:p>
        </w:tc>
        <w:tc>
          <w:tcPr>
            <w:tcW w:w="1916" w:type="dxa"/>
            <w:vAlign w:val="center"/>
          </w:tcPr>
          <w:p w14:paraId="11D2C7B9" w14:textId="77777777" w:rsidR="0094419A" w:rsidRPr="00113E09" w:rsidRDefault="0094419A" w:rsidP="007560C8">
            <w:pPr>
              <w:keepNext/>
              <w:rPr>
                <w:rFonts w:ascii="Arial" w:hAnsi="Arial" w:cs="Arial"/>
                <w:sz w:val="20"/>
                <w:szCs w:val="20"/>
              </w:rPr>
            </w:pPr>
            <w:r w:rsidRPr="00113E09">
              <w:rPr>
                <w:rFonts w:ascii="Arial" w:hAnsi="Arial" w:cs="Arial"/>
                <w:sz w:val="20"/>
                <w:szCs w:val="20"/>
              </w:rPr>
              <w:t>28.5</w:t>
            </w:r>
          </w:p>
        </w:tc>
      </w:tr>
      <w:tr w:rsidR="00113E09" w:rsidRPr="00113E09" w14:paraId="67EA3E08" w14:textId="77777777" w:rsidTr="004004CF">
        <w:trPr>
          <w:trHeight w:val="288"/>
        </w:trPr>
        <w:tc>
          <w:tcPr>
            <w:tcW w:w="2088" w:type="dxa"/>
            <w:vAlign w:val="center"/>
          </w:tcPr>
          <w:p w14:paraId="112FD93E" w14:textId="77777777" w:rsidR="0094419A" w:rsidRPr="00113E09" w:rsidRDefault="0094419A" w:rsidP="007560C8">
            <w:pPr>
              <w:rPr>
                <w:rFonts w:ascii="Arial" w:hAnsi="Arial" w:cs="Arial"/>
                <w:sz w:val="20"/>
                <w:szCs w:val="20"/>
              </w:rPr>
            </w:pPr>
            <w:r w:rsidRPr="00113E09">
              <w:rPr>
                <w:rFonts w:ascii="Arial" w:hAnsi="Arial" w:cs="Arial"/>
                <w:sz w:val="20"/>
                <w:szCs w:val="20"/>
              </w:rPr>
              <w:t>Hawthorne</w:t>
            </w:r>
          </w:p>
        </w:tc>
        <w:tc>
          <w:tcPr>
            <w:tcW w:w="1742" w:type="dxa"/>
            <w:vAlign w:val="center"/>
          </w:tcPr>
          <w:p w14:paraId="73ADEA39" w14:textId="77777777" w:rsidR="0094419A" w:rsidRPr="00113E09" w:rsidRDefault="0094419A" w:rsidP="007560C8">
            <w:pPr>
              <w:rPr>
                <w:rFonts w:ascii="Arial" w:hAnsi="Arial" w:cs="Arial"/>
                <w:sz w:val="20"/>
                <w:szCs w:val="20"/>
              </w:rPr>
            </w:pPr>
            <w:r w:rsidRPr="00113E09">
              <w:rPr>
                <w:rFonts w:ascii="Arial" w:hAnsi="Arial" w:cs="Arial"/>
                <w:sz w:val="20"/>
                <w:szCs w:val="20"/>
              </w:rPr>
              <w:t>38.4</w:t>
            </w:r>
          </w:p>
        </w:tc>
        <w:tc>
          <w:tcPr>
            <w:tcW w:w="1915" w:type="dxa"/>
            <w:vAlign w:val="center"/>
          </w:tcPr>
          <w:p w14:paraId="71FF9094" w14:textId="77777777" w:rsidR="0094419A" w:rsidRPr="00113E09" w:rsidRDefault="0094419A" w:rsidP="007560C8">
            <w:pPr>
              <w:rPr>
                <w:rFonts w:ascii="Arial" w:hAnsi="Arial" w:cs="Arial"/>
                <w:sz w:val="20"/>
                <w:szCs w:val="20"/>
              </w:rPr>
            </w:pPr>
            <w:r w:rsidRPr="00113E09">
              <w:rPr>
                <w:rFonts w:ascii="Arial" w:hAnsi="Arial" w:cs="Arial"/>
                <w:sz w:val="20"/>
                <w:szCs w:val="20"/>
              </w:rPr>
              <w:t>35.7</w:t>
            </w:r>
          </w:p>
        </w:tc>
        <w:tc>
          <w:tcPr>
            <w:tcW w:w="1915" w:type="dxa"/>
            <w:vAlign w:val="center"/>
          </w:tcPr>
          <w:p w14:paraId="745A71FA" w14:textId="77777777" w:rsidR="0094419A" w:rsidRPr="00113E09" w:rsidRDefault="0094419A" w:rsidP="007560C8">
            <w:pPr>
              <w:rPr>
                <w:rFonts w:ascii="Arial" w:hAnsi="Arial" w:cs="Arial"/>
                <w:sz w:val="20"/>
                <w:szCs w:val="20"/>
              </w:rPr>
            </w:pPr>
            <w:r w:rsidRPr="00113E09">
              <w:rPr>
                <w:rFonts w:ascii="Arial" w:hAnsi="Arial" w:cs="Arial"/>
                <w:sz w:val="20"/>
                <w:szCs w:val="20"/>
              </w:rPr>
              <w:t>26.2</w:t>
            </w:r>
          </w:p>
        </w:tc>
        <w:tc>
          <w:tcPr>
            <w:tcW w:w="1916" w:type="dxa"/>
            <w:vAlign w:val="center"/>
          </w:tcPr>
          <w:p w14:paraId="4CD37988" w14:textId="77777777" w:rsidR="0094419A" w:rsidRPr="00113E09" w:rsidRDefault="0094419A" w:rsidP="007560C8">
            <w:pPr>
              <w:keepNext/>
              <w:rPr>
                <w:rFonts w:ascii="Arial" w:hAnsi="Arial" w:cs="Arial"/>
                <w:sz w:val="20"/>
                <w:szCs w:val="20"/>
              </w:rPr>
            </w:pPr>
            <w:r w:rsidRPr="00113E09">
              <w:rPr>
                <w:rFonts w:ascii="Arial" w:hAnsi="Arial" w:cs="Arial"/>
                <w:sz w:val="20"/>
                <w:szCs w:val="20"/>
              </w:rPr>
              <w:t>33.4</w:t>
            </w:r>
          </w:p>
        </w:tc>
      </w:tr>
      <w:tr w:rsidR="00113E09" w:rsidRPr="00113E09" w14:paraId="548A0AD2" w14:textId="77777777" w:rsidTr="004004CF">
        <w:trPr>
          <w:trHeight w:val="288"/>
        </w:trPr>
        <w:tc>
          <w:tcPr>
            <w:tcW w:w="2088" w:type="dxa"/>
            <w:vAlign w:val="center"/>
          </w:tcPr>
          <w:p w14:paraId="205A9AC4" w14:textId="77777777" w:rsidR="0094419A" w:rsidRPr="00113E09" w:rsidRDefault="0094419A" w:rsidP="007560C8">
            <w:pPr>
              <w:rPr>
                <w:rFonts w:ascii="Arial" w:hAnsi="Arial" w:cs="Arial"/>
                <w:sz w:val="20"/>
                <w:szCs w:val="20"/>
              </w:rPr>
            </w:pPr>
            <w:r w:rsidRPr="00113E09">
              <w:rPr>
                <w:rFonts w:ascii="Arial" w:hAnsi="Arial" w:cs="Arial"/>
                <w:sz w:val="20"/>
                <w:szCs w:val="20"/>
              </w:rPr>
              <w:t>Rose Park</w:t>
            </w:r>
          </w:p>
        </w:tc>
        <w:tc>
          <w:tcPr>
            <w:tcW w:w="1742" w:type="dxa"/>
            <w:vAlign w:val="center"/>
          </w:tcPr>
          <w:p w14:paraId="4EF00D38" w14:textId="77777777" w:rsidR="0094419A" w:rsidRPr="00113E09" w:rsidRDefault="0094419A" w:rsidP="007560C8">
            <w:pPr>
              <w:rPr>
                <w:rFonts w:ascii="Arial" w:hAnsi="Arial" w:cs="Arial"/>
                <w:sz w:val="20"/>
                <w:szCs w:val="20"/>
              </w:rPr>
            </w:pPr>
            <w:r w:rsidRPr="00113E09">
              <w:rPr>
                <w:rFonts w:ascii="Arial" w:hAnsi="Arial" w:cs="Arial"/>
                <w:sz w:val="20"/>
                <w:szCs w:val="20"/>
              </w:rPr>
              <w:t>43.2</w:t>
            </w:r>
          </w:p>
        </w:tc>
        <w:tc>
          <w:tcPr>
            <w:tcW w:w="1915" w:type="dxa"/>
            <w:vAlign w:val="center"/>
          </w:tcPr>
          <w:p w14:paraId="6A380A23" w14:textId="77777777" w:rsidR="0094419A" w:rsidRPr="00113E09" w:rsidRDefault="0094419A" w:rsidP="007560C8">
            <w:pPr>
              <w:rPr>
                <w:rFonts w:ascii="Arial" w:hAnsi="Arial" w:cs="Arial"/>
                <w:sz w:val="20"/>
                <w:szCs w:val="20"/>
              </w:rPr>
            </w:pPr>
            <w:r w:rsidRPr="00113E09">
              <w:rPr>
                <w:rFonts w:ascii="Arial" w:hAnsi="Arial" w:cs="Arial"/>
                <w:sz w:val="20"/>
                <w:szCs w:val="20"/>
              </w:rPr>
              <w:t>32.4</w:t>
            </w:r>
          </w:p>
        </w:tc>
        <w:tc>
          <w:tcPr>
            <w:tcW w:w="1915" w:type="dxa"/>
            <w:vAlign w:val="center"/>
          </w:tcPr>
          <w:p w14:paraId="02E9D708" w14:textId="77777777" w:rsidR="0094419A" w:rsidRPr="00113E09" w:rsidRDefault="0094419A" w:rsidP="007560C8">
            <w:pPr>
              <w:rPr>
                <w:rFonts w:ascii="Arial" w:hAnsi="Arial" w:cs="Arial"/>
                <w:sz w:val="20"/>
                <w:szCs w:val="20"/>
              </w:rPr>
            </w:pPr>
            <w:r w:rsidRPr="00113E09">
              <w:rPr>
                <w:rFonts w:ascii="Arial" w:hAnsi="Arial" w:cs="Arial"/>
                <w:sz w:val="20"/>
                <w:szCs w:val="20"/>
              </w:rPr>
              <w:t>29.2</w:t>
            </w:r>
          </w:p>
        </w:tc>
        <w:tc>
          <w:tcPr>
            <w:tcW w:w="1916" w:type="dxa"/>
            <w:vAlign w:val="center"/>
          </w:tcPr>
          <w:p w14:paraId="5FEAFA1D" w14:textId="77777777" w:rsidR="0094419A" w:rsidRPr="00113E09" w:rsidRDefault="0094419A" w:rsidP="007560C8">
            <w:pPr>
              <w:keepNext/>
              <w:rPr>
                <w:rFonts w:ascii="Arial" w:hAnsi="Arial" w:cs="Arial"/>
                <w:sz w:val="20"/>
                <w:szCs w:val="20"/>
              </w:rPr>
            </w:pPr>
            <w:r w:rsidRPr="00113E09">
              <w:rPr>
                <w:rFonts w:ascii="Arial" w:hAnsi="Arial" w:cs="Arial"/>
                <w:sz w:val="20"/>
                <w:szCs w:val="20"/>
              </w:rPr>
              <w:t>34.9*</w:t>
            </w:r>
          </w:p>
        </w:tc>
      </w:tr>
      <w:tr w:rsidR="00113E09" w:rsidRPr="00113E09" w14:paraId="02563F2F" w14:textId="77777777" w:rsidTr="004004CF">
        <w:trPr>
          <w:trHeight w:val="288"/>
        </w:trPr>
        <w:tc>
          <w:tcPr>
            <w:tcW w:w="2088" w:type="dxa"/>
            <w:vAlign w:val="center"/>
          </w:tcPr>
          <w:p w14:paraId="4ECDF46D" w14:textId="77777777" w:rsidR="0094419A" w:rsidRPr="00113E09" w:rsidRDefault="0094419A" w:rsidP="007560C8">
            <w:pPr>
              <w:rPr>
                <w:rFonts w:ascii="Arial" w:hAnsi="Arial" w:cs="Arial"/>
                <w:sz w:val="20"/>
                <w:szCs w:val="20"/>
              </w:rPr>
            </w:pPr>
            <w:r w:rsidRPr="00113E09">
              <w:rPr>
                <w:rFonts w:ascii="Arial" w:hAnsi="Arial" w:cs="Arial"/>
                <w:sz w:val="20"/>
                <w:szCs w:val="20"/>
              </w:rPr>
              <w:t>Herriman 3</w:t>
            </w:r>
          </w:p>
        </w:tc>
        <w:tc>
          <w:tcPr>
            <w:tcW w:w="1742" w:type="dxa"/>
            <w:vAlign w:val="center"/>
          </w:tcPr>
          <w:p w14:paraId="4E26E724" w14:textId="77777777" w:rsidR="0094419A" w:rsidRPr="00113E09" w:rsidRDefault="0094419A" w:rsidP="007560C8">
            <w:pPr>
              <w:rPr>
                <w:rFonts w:ascii="Arial" w:hAnsi="Arial" w:cs="Arial"/>
                <w:sz w:val="20"/>
                <w:szCs w:val="20"/>
              </w:rPr>
            </w:pPr>
            <w:r w:rsidRPr="00113E09">
              <w:rPr>
                <w:rFonts w:ascii="Arial" w:hAnsi="Arial" w:cs="Arial"/>
                <w:sz w:val="20"/>
                <w:szCs w:val="20"/>
              </w:rPr>
              <w:t>24.9</w:t>
            </w:r>
          </w:p>
        </w:tc>
        <w:tc>
          <w:tcPr>
            <w:tcW w:w="1915" w:type="dxa"/>
            <w:vAlign w:val="center"/>
          </w:tcPr>
          <w:p w14:paraId="457E3F59" w14:textId="77777777" w:rsidR="0094419A" w:rsidRPr="00113E09" w:rsidRDefault="0094419A" w:rsidP="007560C8">
            <w:pPr>
              <w:rPr>
                <w:rFonts w:ascii="Arial" w:hAnsi="Arial" w:cs="Arial"/>
                <w:sz w:val="20"/>
                <w:szCs w:val="20"/>
              </w:rPr>
            </w:pPr>
            <w:r w:rsidRPr="00113E09">
              <w:rPr>
                <w:rFonts w:ascii="Arial" w:hAnsi="Arial" w:cs="Arial"/>
                <w:sz w:val="20"/>
                <w:szCs w:val="20"/>
              </w:rPr>
              <w:t>28.2</w:t>
            </w:r>
          </w:p>
        </w:tc>
        <w:tc>
          <w:tcPr>
            <w:tcW w:w="1915" w:type="dxa"/>
            <w:vAlign w:val="center"/>
          </w:tcPr>
          <w:p w14:paraId="1751090F" w14:textId="77777777" w:rsidR="0094419A" w:rsidRPr="00113E09" w:rsidRDefault="0094419A" w:rsidP="007560C8">
            <w:pPr>
              <w:rPr>
                <w:rFonts w:ascii="Arial" w:hAnsi="Arial" w:cs="Arial"/>
                <w:sz w:val="20"/>
                <w:szCs w:val="20"/>
              </w:rPr>
            </w:pPr>
            <w:r w:rsidRPr="00113E09">
              <w:rPr>
                <w:rFonts w:ascii="Arial" w:hAnsi="Arial" w:cs="Arial"/>
                <w:sz w:val="20"/>
                <w:szCs w:val="20"/>
              </w:rPr>
              <w:t>29.0</w:t>
            </w:r>
          </w:p>
        </w:tc>
        <w:tc>
          <w:tcPr>
            <w:tcW w:w="1916" w:type="dxa"/>
            <w:vAlign w:val="center"/>
          </w:tcPr>
          <w:p w14:paraId="1AD5421E" w14:textId="77777777" w:rsidR="0094419A" w:rsidRPr="00113E09" w:rsidRDefault="0094419A" w:rsidP="007560C8">
            <w:pPr>
              <w:keepNext/>
              <w:rPr>
                <w:rFonts w:ascii="Arial" w:hAnsi="Arial" w:cs="Arial"/>
                <w:sz w:val="20"/>
                <w:szCs w:val="20"/>
              </w:rPr>
            </w:pPr>
            <w:r w:rsidRPr="00113E09">
              <w:rPr>
                <w:rFonts w:ascii="Arial" w:hAnsi="Arial" w:cs="Arial"/>
                <w:sz w:val="20"/>
                <w:szCs w:val="20"/>
              </w:rPr>
              <w:t>27.3</w:t>
            </w:r>
          </w:p>
        </w:tc>
      </w:tr>
      <w:tr w:rsidR="00113E09" w:rsidRPr="00113E09" w14:paraId="1A07F2A4" w14:textId="77777777" w:rsidTr="004004CF">
        <w:trPr>
          <w:trHeight w:val="288"/>
        </w:trPr>
        <w:tc>
          <w:tcPr>
            <w:tcW w:w="2088" w:type="dxa"/>
            <w:vAlign w:val="center"/>
          </w:tcPr>
          <w:p w14:paraId="41C2B016" w14:textId="77777777" w:rsidR="0094419A" w:rsidRPr="00113E09" w:rsidRDefault="0094419A" w:rsidP="007560C8">
            <w:pPr>
              <w:rPr>
                <w:rFonts w:ascii="Arial" w:hAnsi="Arial" w:cs="Arial"/>
                <w:sz w:val="20"/>
                <w:szCs w:val="20"/>
              </w:rPr>
            </w:pPr>
            <w:r w:rsidRPr="00113E09">
              <w:rPr>
                <w:rFonts w:ascii="Arial" w:hAnsi="Arial" w:cs="Arial"/>
                <w:sz w:val="20"/>
                <w:szCs w:val="20"/>
              </w:rPr>
              <w:t>Erda</w:t>
            </w:r>
          </w:p>
        </w:tc>
        <w:tc>
          <w:tcPr>
            <w:tcW w:w="1742" w:type="dxa"/>
            <w:vAlign w:val="center"/>
          </w:tcPr>
          <w:p w14:paraId="64EA16CE" w14:textId="77777777" w:rsidR="0094419A" w:rsidRPr="00113E09" w:rsidRDefault="0094419A" w:rsidP="007560C8">
            <w:pPr>
              <w:rPr>
                <w:rFonts w:ascii="Arial" w:hAnsi="Arial" w:cs="Arial"/>
                <w:sz w:val="20"/>
                <w:szCs w:val="20"/>
              </w:rPr>
            </w:pPr>
            <w:r w:rsidRPr="00113E09">
              <w:rPr>
                <w:rFonts w:ascii="Arial" w:hAnsi="Arial" w:cs="Arial"/>
                <w:sz w:val="20"/>
                <w:szCs w:val="20"/>
              </w:rPr>
              <w:t>25.1</w:t>
            </w:r>
          </w:p>
        </w:tc>
        <w:tc>
          <w:tcPr>
            <w:tcW w:w="1915" w:type="dxa"/>
            <w:vAlign w:val="center"/>
          </w:tcPr>
          <w:p w14:paraId="0379D360" w14:textId="77777777" w:rsidR="0094419A" w:rsidRPr="00113E09" w:rsidRDefault="0094419A" w:rsidP="007560C8">
            <w:pPr>
              <w:rPr>
                <w:rFonts w:ascii="Arial" w:hAnsi="Arial" w:cs="Arial"/>
                <w:sz w:val="20"/>
                <w:szCs w:val="20"/>
              </w:rPr>
            </w:pPr>
            <w:r w:rsidRPr="00113E09">
              <w:rPr>
                <w:rFonts w:ascii="Arial" w:hAnsi="Arial" w:cs="Arial"/>
                <w:sz w:val="20"/>
                <w:szCs w:val="20"/>
              </w:rPr>
              <w:t>20.9</w:t>
            </w:r>
          </w:p>
        </w:tc>
        <w:tc>
          <w:tcPr>
            <w:tcW w:w="1915" w:type="dxa"/>
            <w:vAlign w:val="center"/>
          </w:tcPr>
          <w:p w14:paraId="73AECAFC" w14:textId="77777777" w:rsidR="0094419A" w:rsidRPr="00113E09" w:rsidRDefault="0094419A" w:rsidP="007560C8">
            <w:pPr>
              <w:rPr>
                <w:rFonts w:ascii="Arial" w:hAnsi="Arial" w:cs="Arial"/>
                <w:sz w:val="20"/>
                <w:szCs w:val="20"/>
              </w:rPr>
            </w:pPr>
            <w:r w:rsidRPr="00113E09">
              <w:rPr>
                <w:rFonts w:ascii="Arial" w:hAnsi="Arial" w:cs="Arial"/>
                <w:sz w:val="20"/>
                <w:szCs w:val="20"/>
              </w:rPr>
              <w:t>30.6</w:t>
            </w:r>
          </w:p>
        </w:tc>
        <w:tc>
          <w:tcPr>
            <w:tcW w:w="1916" w:type="dxa"/>
            <w:vAlign w:val="center"/>
          </w:tcPr>
          <w:p w14:paraId="13AE1FD5" w14:textId="77777777" w:rsidR="0094419A" w:rsidRPr="00113E09" w:rsidRDefault="0094419A" w:rsidP="007560C8">
            <w:pPr>
              <w:keepNext/>
              <w:rPr>
                <w:rFonts w:ascii="Arial" w:hAnsi="Arial" w:cs="Arial"/>
                <w:sz w:val="20"/>
                <w:szCs w:val="20"/>
              </w:rPr>
            </w:pPr>
            <w:r w:rsidRPr="00113E09">
              <w:rPr>
                <w:rFonts w:ascii="Arial" w:hAnsi="Arial" w:cs="Arial"/>
                <w:sz w:val="20"/>
                <w:szCs w:val="20"/>
              </w:rPr>
              <w:t>25.5</w:t>
            </w:r>
          </w:p>
        </w:tc>
      </w:tr>
    </w:tbl>
    <w:p w14:paraId="3DF44343" w14:textId="6BBE084C" w:rsidR="0094419A" w:rsidRPr="00113E09" w:rsidRDefault="0094419A" w:rsidP="0094419A">
      <w:pPr>
        <w:pStyle w:val="Caption"/>
        <w:rPr>
          <w:color w:val="auto"/>
        </w:rPr>
      </w:pPr>
      <w:bookmarkStart w:id="14" w:name="_Toc17268992"/>
      <w:bookmarkStart w:id="15" w:name="_Toc10186275"/>
      <w:bookmarkStart w:id="16" w:name="_Toc16156400"/>
      <w:r w:rsidRPr="00113E09">
        <w:rPr>
          <w:color w:val="auto"/>
        </w:rPr>
        <w:t xml:space="preserve">Table IX.A.36. </w:t>
      </w:r>
      <w:r w:rsidR="00767843" w:rsidRPr="00113E09">
        <w:rPr>
          <w:color w:val="auto"/>
        </w:rPr>
        <w:fldChar w:fldCharType="begin"/>
      </w:r>
      <w:r w:rsidR="00767843" w:rsidRPr="00113E09">
        <w:rPr>
          <w:color w:val="auto"/>
        </w:rPr>
        <w:instrText xml:space="preserve"> SEQ Table_IX.A.36. \* ARABIC </w:instrText>
      </w:r>
      <w:r w:rsidR="00767843" w:rsidRPr="00113E09">
        <w:rPr>
          <w:color w:val="auto"/>
        </w:rPr>
        <w:fldChar w:fldCharType="separate"/>
      </w:r>
      <w:r w:rsidR="00767843">
        <w:rPr>
          <w:noProof/>
          <w:color w:val="auto"/>
        </w:rPr>
        <w:t>2</w:t>
      </w:r>
      <w:r w:rsidR="00767843" w:rsidRPr="00113E09">
        <w:rPr>
          <w:noProof/>
          <w:color w:val="auto"/>
        </w:rPr>
        <w:fldChar w:fldCharType="end"/>
      </w:r>
      <w:r w:rsidRPr="00113E09">
        <w:rPr>
          <w:color w:val="auto"/>
        </w:rPr>
        <w:t xml:space="preserve"> Monitored Ambient 24-hr PM</w:t>
      </w:r>
      <w:r w:rsidR="007E7565" w:rsidRPr="00113E09">
        <w:rPr>
          <w:color w:val="auto"/>
          <w:vertAlign w:val="subscript"/>
        </w:rPr>
        <w:t>2.5</w:t>
      </w:r>
      <w:r w:rsidRPr="00113E09">
        <w:rPr>
          <w:color w:val="auto"/>
        </w:rPr>
        <w:t xml:space="preserve"> Data</w:t>
      </w:r>
      <w:bookmarkEnd w:id="14"/>
    </w:p>
    <w:bookmarkEnd w:id="15"/>
    <w:bookmarkEnd w:id="16"/>
    <w:p w14:paraId="5EC53854" w14:textId="77777777" w:rsidR="0094419A" w:rsidRPr="00113E09" w:rsidRDefault="0094419A" w:rsidP="0094419A">
      <w:r w:rsidRPr="00113E09">
        <w:t>*data excludes values from exceptional events that received EPA concurrence</w:t>
      </w:r>
    </w:p>
    <w:p w14:paraId="3507FEC3" w14:textId="07ED7166" w:rsidR="004C1422" w:rsidRDefault="004C1422" w:rsidP="00306BC8">
      <w:pPr>
        <w:pStyle w:val="Heading3"/>
      </w:pPr>
      <w:bookmarkStart w:id="17" w:name="_Toc17268958"/>
      <w:r w:rsidRPr="0010411E">
        <w:t>Modeling Element</w:t>
      </w:r>
      <w:bookmarkEnd w:id="17"/>
      <w:r w:rsidRPr="0010411E">
        <w:t xml:space="preserve"> </w:t>
      </w:r>
    </w:p>
    <w:p w14:paraId="0EC55E74" w14:textId="77777777" w:rsidR="000E6363" w:rsidRPr="00872D6C" w:rsidRDefault="000E6363" w:rsidP="00E875DA">
      <w:r w:rsidRPr="00872D6C">
        <w:t>EPA guidance</w:t>
      </w:r>
      <w:r w:rsidR="004730A7">
        <w:rPr>
          <w:rStyle w:val="FootnoteReference"/>
        </w:rPr>
        <w:footnoteReference w:id="7"/>
      </w:r>
      <w:r w:rsidRPr="00872D6C">
        <w:t xml:space="preserve"> concerning redesignation </w:t>
      </w:r>
      <w:r w:rsidR="00D3035C">
        <w:t xml:space="preserve">requests and maintenance plans </w:t>
      </w:r>
      <w:r w:rsidRPr="00872D6C">
        <w:t>discusses the requirement that the</w:t>
      </w:r>
      <w:r w:rsidR="008115C9">
        <w:t xml:space="preserve"> area has attained the standard</w:t>
      </w:r>
      <w:r w:rsidRPr="00872D6C">
        <w:t xml:space="preserve"> and notes that air quality modeling may be necessary to determine the representativeness of the monitored data. </w:t>
      </w:r>
      <w:r w:rsidR="00375D1A">
        <w:t>A</w:t>
      </w:r>
      <w:r w:rsidRPr="00872D6C">
        <w:t xml:space="preserve">reas that were designated nonattainment based on modeling will generally not be redesignated to attainment unless an acceptable modeling analysis indicates </w:t>
      </w:r>
      <w:r w:rsidRPr="00113E09">
        <w:t xml:space="preserve">attainment. The </w:t>
      </w:r>
      <w:r w:rsidR="00576FFF" w:rsidRPr="00113E09">
        <w:rPr>
          <w:rFonts w:eastAsia="Times New Roman" w:cs="Times New Roman"/>
        </w:rPr>
        <w:t>SLC NAA</w:t>
      </w:r>
      <w:r w:rsidRPr="00113E09">
        <w:t xml:space="preserve"> was n</w:t>
      </w:r>
      <w:r w:rsidR="00970160" w:rsidRPr="00113E09">
        <w:t>ot designated based on modeling; the</w:t>
      </w:r>
      <w:r w:rsidR="002677DB" w:rsidRPr="00113E09">
        <w:t>refore, additional modeling is not</w:t>
      </w:r>
      <w:r w:rsidR="00970160" w:rsidRPr="00113E09">
        <w:t xml:space="preserve"> necessary to determine the representativeness of the monitored data.</w:t>
      </w:r>
      <w:r w:rsidR="00B55D54" w:rsidRPr="00113E09">
        <w:t xml:space="preserve"> </w:t>
      </w:r>
      <w:r w:rsidR="00F1790B" w:rsidRPr="00113E09">
        <w:t xml:space="preserve">The </w:t>
      </w:r>
      <w:r w:rsidR="00576FFF" w:rsidRPr="00113E09">
        <w:rPr>
          <w:rFonts w:eastAsia="Times New Roman" w:cs="Times New Roman"/>
        </w:rPr>
        <w:t>SLC NAA</w:t>
      </w:r>
      <w:r w:rsidR="00F1790B" w:rsidRPr="00113E09">
        <w:t xml:space="preserve"> </w:t>
      </w:r>
      <w:r w:rsidR="00576FFF" w:rsidRPr="00113E09">
        <w:t>clean data determination</w:t>
      </w:r>
      <w:r w:rsidR="00970160" w:rsidRPr="00113E09">
        <w:t xml:space="preserve"> </w:t>
      </w:r>
      <w:r w:rsidR="00921DF0" w:rsidRPr="00113E09">
        <w:t>was made</w:t>
      </w:r>
      <w:r w:rsidR="00F1790B" w:rsidRPr="00113E09">
        <w:t xml:space="preserve"> based on </w:t>
      </w:r>
      <w:r w:rsidR="00952FA4" w:rsidRPr="00113E09">
        <w:t>validated ambient</w:t>
      </w:r>
      <w:r w:rsidR="00970160" w:rsidRPr="00113E09">
        <w:t xml:space="preserve"> monitored values. Consequently, </w:t>
      </w:r>
      <w:r w:rsidR="00952FA4" w:rsidRPr="00113E09">
        <w:t>mode</w:t>
      </w:r>
      <w:r w:rsidR="00F1790B" w:rsidRPr="00113E09">
        <w:t xml:space="preserve">ling is not necessary to show attainment. However, </w:t>
      </w:r>
      <w:r w:rsidRPr="00113E09">
        <w:t>modeling was conducted for the purpose of this maintenance demonstration</w:t>
      </w:r>
      <w:r w:rsidR="00F1790B" w:rsidRPr="00113E09">
        <w:t xml:space="preserve"> to show continued compliance</w:t>
      </w:r>
      <w:r w:rsidR="005A5EC6" w:rsidRPr="00113E09">
        <w:t xml:space="preserve"> with the </w:t>
      </w:r>
      <w:r w:rsidR="00AD1106" w:rsidRPr="00113E09">
        <w:t>PM</w:t>
      </w:r>
      <w:r w:rsidR="00AD1106" w:rsidRPr="00113E09">
        <w:rPr>
          <w:vertAlign w:val="subscript"/>
        </w:rPr>
        <w:t xml:space="preserve">2.5 </w:t>
      </w:r>
      <w:r w:rsidRPr="00113E09">
        <w:t xml:space="preserve">NAAQS through the year </w:t>
      </w:r>
      <w:r w:rsidR="00952FA4" w:rsidRPr="00113E09">
        <w:t>2035</w:t>
      </w:r>
      <w:r w:rsidR="00B01453" w:rsidRPr="00113E09">
        <w:t xml:space="preserve"> (see section IX.A.</w:t>
      </w:r>
      <w:r w:rsidR="00576FFF" w:rsidRPr="00113E09">
        <w:t>36</w:t>
      </w:r>
      <w:r w:rsidR="00B01453" w:rsidRPr="00113E09">
        <w:t>.c</w:t>
      </w:r>
      <w:r w:rsidR="008D6474" w:rsidRPr="00113E09">
        <w:t>)</w:t>
      </w:r>
      <w:r w:rsidRPr="00113E09">
        <w:t>.</w:t>
      </w:r>
    </w:p>
    <w:p w14:paraId="44C532ED" w14:textId="77777777" w:rsidR="004C1422" w:rsidRPr="00872D6C" w:rsidRDefault="004C1422" w:rsidP="00306BC8">
      <w:pPr>
        <w:pStyle w:val="Heading3"/>
      </w:pPr>
      <w:bookmarkStart w:id="18" w:name="_Toc17268959"/>
      <w:bookmarkStart w:id="19" w:name="_Hlk14338551"/>
      <w:r w:rsidRPr="00872D6C">
        <w:lastRenderedPageBreak/>
        <w:t>EPA Acknowledgement</w:t>
      </w:r>
      <w:bookmarkEnd w:id="18"/>
      <w:r w:rsidRPr="00872D6C">
        <w:t xml:space="preserve"> </w:t>
      </w:r>
    </w:p>
    <w:p w14:paraId="5C3F7D12" w14:textId="1D1F9AE3" w:rsidR="001A0C6A" w:rsidRPr="00113E09" w:rsidRDefault="001A0C6A" w:rsidP="001A0C6A">
      <w:pPr>
        <w:spacing w:after="0" w:line="240" w:lineRule="auto"/>
        <w:rPr>
          <w:rFonts w:cs="Times New Roman"/>
        </w:rPr>
      </w:pPr>
      <w:r w:rsidRPr="00872D6C">
        <w:rPr>
          <w:rFonts w:cs="Times New Roman"/>
        </w:rPr>
        <w:t xml:space="preserve">The data presented in the preceding paragraphs </w:t>
      </w:r>
      <w:r w:rsidR="006F2FDE">
        <w:rPr>
          <w:rFonts w:cs="Times New Roman"/>
        </w:rPr>
        <w:t>demonstrates</w:t>
      </w:r>
      <w:r>
        <w:rPr>
          <w:rFonts w:cs="Times New Roman"/>
        </w:rPr>
        <w:t xml:space="preserve"> that the </w:t>
      </w:r>
      <w:r w:rsidRPr="00113E09">
        <w:rPr>
          <w:rFonts w:cs="Times New Roman"/>
        </w:rPr>
        <w:t xml:space="preserve">SLC NAA </w:t>
      </w:r>
      <w:r w:rsidRPr="00872D6C">
        <w:rPr>
          <w:rFonts w:cs="Times New Roman"/>
        </w:rPr>
        <w:t xml:space="preserve">is attaining the </w:t>
      </w:r>
      <w:r>
        <w:rPr>
          <w:rFonts w:cs="Times New Roman"/>
        </w:rPr>
        <w:t xml:space="preserve">24-hr </w:t>
      </w:r>
      <w:r w:rsidRPr="00EF2C3F">
        <w:rPr>
          <w:rFonts w:cs="Times New Roman"/>
        </w:rPr>
        <w:t>PM</w:t>
      </w:r>
      <w:r w:rsidRPr="00EF2C3F">
        <w:rPr>
          <w:rFonts w:cs="Times New Roman"/>
          <w:vertAlign w:val="subscript"/>
        </w:rPr>
        <w:t>2.5</w:t>
      </w:r>
      <w:r>
        <w:rPr>
          <w:rFonts w:cs="Times New Roman"/>
          <w:vertAlign w:val="subscript"/>
        </w:rPr>
        <w:t xml:space="preserve"> </w:t>
      </w:r>
      <w:r w:rsidRPr="00113E09">
        <w:rPr>
          <w:rFonts w:cs="Times New Roman"/>
        </w:rPr>
        <w:t xml:space="preserve">NAAQS. On </w:t>
      </w:r>
      <w:r w:rsidR="00DD6A15" w:rsidRPr="00113E09">
        <w:rPr>
          <w:rFonts w:cs="Times New Roman"/>
        </w:rPr>
        <w:t>June 5</w:t>
      </w:r>
      <w:r w:rsidRPr="00113E09">
        <w:rPr>
          <w:rFonts w:cs="Times New Roman"/>
        </w:rPr>
        <w:t>, 2019, EPA published notice in the Federal Register (</w:t>
      </w:r>
      <w:r w:rsidR="00DD6A15" w:rsidRPr="00113E09">
        <w:rPr>
          <w:rFonts w:cs="Times New Roman"/>
        </w:rPr>
        <w:t>84</w:t>
      </w:r>
      <w:r w:rsidRPr="00113E09">
        <w:rPr>
          <w:rFonts w:cs="Times New Roman"/>
        </w:rPr>
        <w:t xml:space="preserve"> FR </w:t>
      </w:r>
      <w:r w:rsidR="00DD6A15" w:rsidRPr="00113E09">
        <w:rPr>
          <w:rFonts w:cs="Times New Roman"/>
        </w:rPr>
        <w:t>26053</w:t>
      </w:r>
      <w:r w:rsidRPr="00113E09">
        <w:rPr>
          <w:rFonts w:cs="Times New Roman"/>
        </w:rPr>
        <w:t xml:space="preserve">) that pursuant to CAA section 199(b)(2), “the EPA is </w:t>
      </w:r>
      <w:r w:rsidR="00DD6A15" w:rsidRPr="00113E09">
        <w:rPr>
          <w:rFonts w:cs="Times New Roman"/>
        </w:rPr>
        <w:t xml:space="preserve">proposing to make a clean data </w:t>
      </w:r>
      <w:r w:rsidRPr="00113E09">
        <w:rPr>
          <w:rFonts w:cs="Times New Roman"/>
        </w:rPr>
        <w:t xml:space="preserve">determination </w:t>
      </w:r>
      <w:r w:rsidR="00DD6A15" w:rsidRPr="00113E09">
        <w:rPr>
          <w:rFonts w:cs="Times New Roman"/>
        </w:rPr>
        <w:t>for the</w:t>
      </w:r>
      <w:r w:rsidRPr="00113E09">
        <w:rPr>
          <w:rFonts w:cs="Times New Roman"/>
        </w:rPr>
        <w:t xml:space="preserve"> </w:t>
      </w:r>
      <w:r w:rsidR="00DD6A15" w:rsidRPr="00113E09">
        <w:rPr>
          <w:rFonts w:cs="Times New Roman"/>
        </w:rPr>
        <w:t>2006 24-hr fine particulate matter</w:t>
      </w:r>
      <w:r w:rsidRPr="00113E09">
        <w:rPr>
          <w:rFonts w:cs="Times New Roman"/>
        </w:rPr>
        <w:t xml:space="preserve"> </w:t>
      </w:r>
      <w:r w:rsidR="00DD6A15" w:rsidRPr="00113E09">
        <w:rPr>
          <w:rFonts w:cs="Times New Roman"/>
        </w:rPr>
        <w:t>(</w:t>
      </w:r>
      <w:r w:rsidRPr="00113E09">
        <w:rPr>
          <w:rFonts w:cs="Times New Roman"/>
        </w:rPr>
        <w:t>PM</w:t>
      </w:r>
      <w:r w:rsidRPr="00113E09">
        <w:rPr>
          <w:rFonts w:cs="Times New Roman"/>
          <w:vertAlign w:val="subscript"/>
        </w:rPr>
        <w:t>2.5</w:t>
      </w:r>
      <w:r w:rsidR="00DD6A15" w:rsidRPr="00113E09">
        <w:rPr>
          <w:rFonts w:cs="Times New Roman"/>
        </w:rPr>
        <w:t>)</w:t>
      </w:r>
      <w:r w:rsidRPr="00113E09">
        <w:rPr>
          <w:rFonts w:cs="Times New Roman"/>
          <w:vertAlign w:val="subscript"/>
        </w:rPr>
        <w:t xml:space="preserve"> </w:t>
      </w:r>
      <w:r w:rsidR="00DD6A15" w:rsidRPr="00113E09">
        <w:rPr>
          <w:rFonts w:cs="Times New Roman"/>
        </w:rPr>
        <w:t>Salt Lake City, UT nonattainment area</w:t>
      </w:r>
      <w:r w:rsidR="006F2FDE" w:rsidRPr="00113E09">
        <w:rPr>
          <w:rFonts w:cs="Times New Roman"/>
        </w:rPr>
        <w:t>.</w:t>
      </w:r>
      <w:r w:rsidRPr="00113E09">
        <w:rPr>
          <w:rFonts w:cs="Times New Roman"/>
        </w:rPr>
        <w:t>”</w:t>
      </w:r>
      <w:r w:rsidR="006F2FDE" w:rsidRPr="00113E09">
        <w:rPr>
          <w:rFonts w:cs="Times New Roman"/>
        </w:rPr>
        <w:t xml:space="preserve"> </w:t>
      </w:r>
      <w:r w:rsidRPr="00113E09">
        <w:rPr>
          <w:rFonts w:cs="Times New Roman"/>
        </w:rPr>
        <w:t>This determination was based on quality-assured, quality-controlled</w:t>
      </w:r>
      <w:r w:rsidR="003E4B3B" w:rsidRPr="00113E09">
        <w:rPr>
          <w:rFonts w:cs="Times New Roman"/>
        </w:rPr>
        <w:t>,</w:t>
      </w:r>
      <w:r w:rsidRPr="00113E09">
        <w:rPr>
          <w:rFonts w:cs="Times New Roman"/>
        </w:rPr>
        <w:t xml:space="preserve"> and validated ambient air monitoring data for 2016-2018. </w:t>
      </w:r>
    </w:p>
    <w:p w14:paraId="0AAE069D" w14:textId="77777777" w:rsidR="00110FE7" w:rsidRPr="00113E09" w:rsidRDefault="00110FE7" w:rsidP="003D5B57">
      <w:pPr>
        <w:spacing w:after="0" w:line="240" w:lineRule="auto"/>
        <w:rPr>
          <w:rFonts w:cs="Times New Roman"/>
        </w:rPr>
      </w:pPr>
    </w:p>
    <w:p w14:paraId="51407E2A" w14:textId="77777777" w:rsidR="008A3671" w:rsidRPr="00113E09" w:rsidRDefault="0048689A" w:rsidP="00306BC8">
      <w:pPr>
        <w:pStyle w:val="Heading2"/>
      </w:pPr>
      <w:bookmarkStart w:id="20" w:name="_Toc17268960"/>
      <w:r w:rsidRPr="00113E09">
        <w:t xml:space="preserve">(2) </w:t>
      </w:r>
      <w:r w:rsidR="004C1422" w:rsidRPr="00113E09">
        <w:t>Fully A</w:t>
      </w:r>
      <w:r w:rsidR="00074C41" w:rsidRPr="00113E09">
        <w:t>pproved Attainment Plan for PM</w:t>
      </w:r>
      <w:r w:rsidR="00074C41" w:rsidRPr="00113E09">
        <w:rPr>
          <w:vertAlign w:val="subscript"/>
        </w:rPr>
        <w:t>2.5</w:t>
      </w:r>
      <w:bookmarkEnd w:id="20"/>
      <w:r w:rsidR="004C1422" w:rsidRPr="00113E09">
        <w:rPr>
          <w:vertAlign w:val="subscript"/>
        </w:rPr>
        <w:t xml:space="preserve"> </w:t>
      </w:r>
    </w:p>
    <w:p w14:paraId="3234F5E3" w14:textId="77777777" w:rsidR="00687A82" w:rsidRPr="00113E09" w:rsidRDefault="00687A82" w:rsidP="003D5B57">
      <w:pPr>
        <w:spacing w:after="0" w:line="240" w:lineRule="auto"/>
        <w:rPr>
          <w:rFonts w:eastAsia="Times New Roman" w:cs="Times New Roman"/>
        </w:rPr>
      </w:pPr>
      <w:r w:rsidRPr="00113E09">
        <w:rPr>
          <w:rFonts w:eastAsia="Times New Roman" w:cs="Times New Roman"/>
          <w:i/>
        </w:rPr>
        <w:t xml:space="preserve">CAA 107(d)(3)(E)(ii) - The Administrator has fully approved the applicable implementation plan for the area under section 110(k). </w:t>
      </w:r>
    </w:p>
    <w:p w14:paraId="34C9DD22" w14:textId="77777777" w:rsidR="00687A82" w:rsidRPr="00113E09" w:rsidRDefault="00687A82" w:rsidP="003D5B57">
      <w:pPr>
        <w:spacing w:after="0" w:line="240" w:lineRule="auto"/>
        <w:rPr>
          <w:rFonts w:eastAsia="Times New Roman" w:cs="Times New Roman"/>
        </w:rPr>
      </w:pPr>
    </w:p>
    <w:p w14:paraId="3B726CDE" w14:textId="40156BAF" w:rsidR="000B082B" w:rsidRPr="00113E09" w:rsidRDefault="00072507" w:rsidP="00072507">
      <w:pPr>
        <w:rPr>
          <w:rFonts w:cs="Times New Roman"/>
        </w:rPr>
      </w:pPr>
      <w:r w:rsidRPr="00113E09">
        <w:rPr>
          <w:rFonts w:cs="Times New Roman"/>
        </w:rPr>
        <w:t xml:space="preserve">On February 15, 2019, Utah submitted a </w:t>
      </w:r>
      <w:r w:rsidR="00542D13" w:rsidRPr="00113E09">
        <w:rPr>
          <w:rFonts w:cs="Times New Roman"/>
        </w:rPr>
        <w:t>s</w:t>
      </w:r>
      <w:r w:rsidRPr="00113E09">
        <w:rPr>
          <w:rFonts w:cs="Times New Roman"/>
        </w:rPr>
        <w:t>erious SIP</w:t>
      </w:r>
      <w:r w:rsidR="00BB47FA" w:rsidRPr="00113E09">
        <w:rPr>
          <w:rStyle w:val="FootnoteReference"/>
          <w:rFonts w:cs="Times New Roman"/>
        </w:rPr>
        <w:footnoteReference w:id="8"/>
      </w:r>
      <w:r w:rsidRPr="00113E09">
        <w:rPr>
          <w:rFonts w:cs="Times New Roman"/>
        </w:rPr>
        <w:t xml:space="preserve"> for the SLC NAA that demonstrated attainment of the PM</w:t>
      </w:r>
      <w:r w:rsidRPr="00113E09">
        <w:rPr>
          <w:rFonts w:cs="Times New Roman"/>
          <w:vertAlign w:val="subscript"/>
        </w:rPr>
        <w:t>2.5</w:t>
      </w:r>
      <w:r w:rsidRPr="00113E09">
        <w:rPr>
          <w:rFonts w:cs="Times New Roman"/>
        </w:rPr>
        <w:t xml:space="preserve"> NAAQS by the attainment date, December 31, 2019. </w:t>
      </w:r>
    </w:p>
    <w:p w14:paraId="3F3528C2" w14:textId="02DB13F8" w:rsidR="00072507" w:rsidRPr="00113E09" w:rsidRDefault="000B082B" w:rsidP="00072507">
      <w:pPr>
        <w:rPr>
          <w:rFonts w:cs="Times New Roman"/>
        </w:rPr>
      </w:pPr>
      <w:r w:rsidRPr="00113E09">
        <w:rPr>
          <w:rFonts w:cs="Times New Roman"/>
        </w:rPr>
        <w:t>Areas designated as nonattainment that attain the standard prior to the SIP submittal deadline, or prior to an area’s approved attainment date, are eligible for reduced regulatory requirements as described in EPA’s “Clean Data Policy.”</w:t>
      </w:r>
      <w:r w:rsidRPr="00113E09">
        <w:rPr>
          <w:rStyle w:val="FootnoteReference"/>
          <w:rFonts w:cs="Times New Roman"/>
        </w:rPr>
        <w:footnoteReference w:id="9"/>
      </w:r>
      <w:r w:rsidRPr="00113E09">
        <w:rPr>
          <w:rFonts w:cs="Times New Roman"/>
        </w:rPr>
        <w:t xml:space="preserve"> Under the Clean Data Policy,</w:t>
      </w:r>
      <w:r w:rsidR="00903345" w:rsidRPr="00113E09">
        <w:rPr>
          <w:rFonts w:cs="Times New Roman"/>
        </w:rPr>
        <w:t xml:space="preserve"> the EPA issued a </w:t>
      </w:r>
      <w:r w:rsidR="00544940" w:rsidRPr="00113E09">
        <w:rPr>
          <w:rFonts w:cs="Times New Roman"/>
        </w:rPr>
        <w:t>proposed</w:t>
      </w:r>
      <w:r w:rsidR="00903345" w:rsidRPr="00113E09">
        <w:rPr>
          <w:rFonts w:cs="Times New Roman"/>
        </w:rPr>
        <w:t xml:space="preserve"> clean data determination </w:t>
      </w:r>
      <w:r w:rsidR="00072507" w:rsidRPr="00113E09">
        <w:rPr>
          <w:rFonts w:cs="Times New Roman"/>
        </w:rPr>
        <w:t xml:space="preserve">on </w:t>
      </w:r>
      <w:r w:rsidR="00544940" w:rsidRPr="00113E09">
        <w:rPr>
          <w:rFonts w:cs="Times New Roman"/>
        </w:rPr>
        <w:t>June</w:t>
      </w:r>
      <w:r w:rsidR="00072507" w:rsidRPr="00113E09">
        <w:rPr>
          <w:rFonts w:cs="Times New Roman"/>
        </w:rPr>
        <w:t xml:space="preserve"> </w:t>
      </w:r>
      <w:r w:rsidR="00544940" w:rsidRPr="00113E09">
        <w:rPr>
          <w:rFonts w:cs="Times New Roman"/>
        </w:rPr>
        <w:t>5</w:t>
      </w:r>
      <w:r w:rsidR="00072507" w:rsidRPr="00113E09">
        <w:rPr>
          <w:rFonts w:cs="Times New Roman"/>
        </w:rPr>
        <w:t>, 2019 (</w:t>
      </w:r>
      <w:r w:rsidR="00544940" w:rsidRPr="00113E09">
        <w:rPr>
          <w:rFonts w:cs="Times New Roman"/>
        </w:rPr>
        <w:t>84</w:t>
      </w:r>
      <w:r w:rsidR="00072507" w:rsidRPr="00113E09">
        <w:rPr>
          <w:rFonts w:cs="Times New Roman"/>
        </w:rPr>
        <w:t xml:space="preserve"> FR </w:t>
      </w:r>
      <w:r w:rsidR="00544940" w:rsidRPr="00113E09">
        <w:rPr>
          <w:rFonts w:cs="Times New Roman"/>
        </w:rPr>
        <w:t>26053)</w:t>
      </w:r>
      <w:r w:rsidR="00072507" w:rsidRPr="00113E09">
        <w:rPr>
          <w:rFonts w:cs="Times New Roman"/>
        </w:rPr>
        <w:t xml:space="preserve"> for the SLC NAA. The approval status of both the </w:t>
      </w:r>
      <w:r w:rsidR="00981497" w:rsidRPr="00113E09">
        <w:rPr>
          <w:rFonts w:cs="Times New Roman"/>
        </w:rPr>
        <w:t>m</w:t>
      </w:r>
      <w:r w:rsidR="00072507" w:rsidRPr="00113E09">
        <w:rPr>
          <w:rFonts w:cs="Times New Roman"/>
        </w:rPr>
        <w:t xml:space="preserve">oderate and </w:t>
      </w:r>
      <w:r w:rsidR="00981497" w:rsidRPr="00113E09">
        <w:rPr>
          <w:rFonts w:cs="Times New Roman"/>
        </w:rPr>
        <w:t>s</w:t>
      </w:r>
      <w:r w:rsidR="00072507" w:rsidRPr="00113E09">
        <w:rPr>
          <w:rFonts w:cs="Times New Roman"/>
        </w:rPr>
        <w:t xml:space="preserve">erious SLC SIPs is dependent on the clean data determination requirements as detailed in </w:t>
      </w:r>
      <w:r w:rsidR="00903345" w:rsidRPr="00113E09">
        <w:rPr>
          <w:rFonts w:cs="Times New Roman"/>
        </w:rPr>
        <w:t>40</w:t>
      </w:r>
      <w:r w:rsidR="00072507" w:rsidRPr="00113E09">
        <w:rPr>
          <w:rFonts w:cs="Times New Roman"/>
        </w:rPr>
        <w:t xml:space="preserve"> CFR 51.1015. For a </w:t>
      </w:r>
      <w:r w:rsidR="00542D13" w:rsidRPr="00113E09">
        <w:rPr>
          <w:rFonts w:cs="Times New Roman"/>
        </w:rPr>
        <w:t>s</w:t>
      </w:r>
      <w:r w:rsidR="00072507" w:rsidRPr="00113E09">
        <w:rPr>
          <w:rFonts w:cs="Times New Roman"/>
        </w:rPr>
        <w:t>erious PM</w:t>
      </w:r>
      <w:r w:rsidR="00072507" w:rsidRPr="00113E09">
        <w:rPr>
          <w:rFonts w:cs="Times New Roman"/>
          <w:vertAlign w:val="subscript"/>
        </w:rPr>
        <w:t>2.5</w:t>
      </w:r>
      <w:r w:rsidR="00072507" w:rsidRPr="00113E09">
        <w:rPr>
          <w:rFonts w:cs="Times New Roman"/>
        </w:rPr>
        <w:t xml:space="preserve"> nonattainment area, </w:t>
      </w:r>
      <w:r w:rsidR="00DB14EB" w:rsidRPr="00113E09">
        <w:rPr>
          <w:rFonts w:cs="Times New Roman"/>
        </w:rPr>
        <w:t>a</w:t>
      </w:r>
      <w:r w:rsidR="00072507" w:rsidRPr="00113E09">
        <w:rPr>
          <w:rFonts w:cs="Times New Roman"/>
        </w:rPr>
        <w:t xml:space="preserve"> clean data </w:t>
      </w:r>
      <w:r w:rsidR="00DB14EB" w:rsidRPr="00113E09">
        <w:rPr>
          <w:rFonts w:cs="Times New Roman"/>
        </w:rPr>
        <w:t>determination</w:t>
      </w:r>
      <w:r w:rsidR="00072507" w:rsidRPr="00113E09">
        <w:rPr>
          <w:rFonts w:cs="Times New Roman"/>
        </w:rPr>
        <w:t xml:space="preserve"> suspends the requirements for the state to submit an attainment demonstration, reasonable further progress (RFP) plans, quantitative milestones, and contingency measures until such time as: (1) </w:t>
      </w:r>
      <w:r w:rsidR="003E4B3B" w:rsidRPr="00113E09">
        <w:rPr>
          <w:rFonts w:cs="Times New Roman"/>
        </w:rPr>
        <w:t>t</w:t>
      </w:r>
      <w:r w:rsidR="00072507" w:rsidRPr="00113E09">
        <w:rPr>
          <w:rFonts w:cs="Times New Roman"/>
        </w:rPr>
        <w:t>he area is redesignated to attainment, after which such requirements are permanently discharged; or (2) the EPA determines that the area has re-violated the PM</w:t>
      </w:r>
      <w:r w:rsidR="00072507" w:rsidRPr="00113E09">
        <w:rPr>
          <w:rFonts w:cs="Times New Roman"/>
          <w:vertAlign w:val="subscript"/>
        </w:rPr>
        <w:t>2.5</w:t>
      </w:r>
      <w:r w:rsidR="00072507" w:rsidRPr="00113E09">
        <w:rPr>
          <w:rFonts w:cs="Times New Roman"/>
        </w:rPr>
        <w:t xml:space="preserve"> NAAQS, at which time the state shall submit such attainment plan elements for the </w:t>
      </w:r>
      <w:r w:rsidR="00542D13" w:rsidRPr="00113E09">
        <w:rPr>
          <w:rFonts w:cs="Times New Roman"/>
        </w:rPr>
        <w:t>s</w:t>
      </w:r>
      <w:r w:rsidR="00072507" w:rsidRPr="00113E09">
        <w:rPr>
          <w:rFonts w:cs="Times New Roman"/>
        </w:rPr>
        <w:t>erious nonattainment area by a future date to be determined by the EPA.</w:t>
      </w:r>
      <w:r w:rsidR="005A4B9E" w:rsidRPr="00113E09">
        <w:rPr>
          <w:rFonts w:cs="Times New Roman"/>
        </w:rPr>
        <w:t xml:space="preserve"> Table IX.A.36.3 details the EPA SIP approval status.</w:t>
      </w:r>
    </w:p>
    <w:p w14:paraId="69F69357" w14:textId="603D5C65" w:rsidR="006044C9" w:rsidRPr="006044C9" w:rsidRDefault="006044C9" w:rsidP="00072507">
      <w:pPr>
        <w:rPr>
          <w:rFonts w:cs="Times New Roman"/>
        </w:rPr>
      </w:pPr>
      <w:bookmarkStart w:id="21" w:name="_Hlk14161781"/>
      <w:r w:rsidRPr="00113E09">
        <w:rPr>
          <w:rFonts w:cs="Times New Roman"/>
        </w:rPr>
        <w:t>Additionally, EPA guidance</w:t>
      </w:r>
      <w:r w:rsidRPr="00113E09">
        <w:rPr>
          <w:rStyle w:val="FootnoteReference"/>
          <w:rFonts w:cs="Times New Roman"/>
        </w:rPr>
        <w:footnoteReference w:id="10"/>
      </w:r>
      <w:r w:rsidRPr="00113E09">
        <w:rPr>
          <w:rFonts w:cs="Times New Roman"/>
        </w:rPr>
        <w:t xml:space="preserve"> states </w:t>
      </w:r>
      <w:r w:rsidR="00B86992" w:rsidRPr="00113E09">
        <w:rPr>
          <w:rFonts w:cs="Times New Roman"/>
        </w:rPr>
        <w:t>that approval action on SIP elements and the redesignation request may occur simultaneously.</w:t>
      </w:r>
      <w:r w:rsidR="00E63C89" w:rsidRPr="00113E09">
        <w:rPr>
          <w:rFonts w:cs="Times New Roman"/>
        </w:rPr>
        <w:t xml:space="preserve"> </w:t>
      </w:r>
      <w:r w:rsidR="0035340F" w:rsidRPr="00113E09">
        <w:rPr>
          <w:rFonts w:cs="Times New Roman"/>
        </w:rPr>
        <w:t xml:space="preserve">Requirements listed in Table IX.A.36.3 </w:t>
      </w:r>
      <w:r w:rsidR="0035340F">
        <w:rPr>
          <w:rFonts w:cs="Times New Roman"/>
        </w:rPr>
        <w:t>that show pending approval may fall into this category.</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431"/>
        <w:gridCol w:w="2810"/>
        <w:gridCol w:w="3119"/>
      </w:tblGrid>
      <w:tr w:rsidR="005529AA" w14:paraId="5DAE43CC" w14:textId="77777777" w:rsidTr="00EC2323">
        <w:trPr>
          <w:trHeight w:val="530"/>
        </w:trPr>
        <w:tc>
          <w:tcPr>
            <w:tcW w:w="3431" w:type="dxa"/>
            <w:shd w:val="clear" w:color="auto" w:fill="D9D9D9" w:themeFill="background1" w:themeFillShade="D9"/>
            <w:vAlign w:val="center"/>
          </w:tcPr>
          <w:bookmarkEnd w:id="21"/>
          <w:p w14:paraId="75697849" w14:textId="77777777" w:rsidR="005529AA" w:rsidRPr="00A633B4" w:rsidRDefault="005529AA" w:rsidP="004D6113">
            <w:pPr>
              <w:jc w:val="center"/>
              <w:rPr>
                <w:rFonts w:ascii="Arial" w:hAnsi="Arial" w:cs="Arial"/>
                <w:b/>
                <w:sz w:val="20"/>
                <w:szCs w:val="20"/>
              </w:rPr>
            </w:pPr>
            <w:r w:rsidRPr="00A633B4">
              <w:rPr>
                <w:rFonts w:ascii="Arial" w:hAnsi="Arial" w:cs="Arial"/>
                <w:b/>
                <w:sz w:val="20"/>
                <w:szCs w:val="20"/>
              </w:rPr>
              <w:t>Requirement</w:t>
            </w:r>
          </w:p>
        </w:tc>
        <w:tc>
          <w:tcPr>
            <w:tcW w:w="2810" w:type="dxa"/>
            <w:shd w:val="clear" w:color="auto" w:fill="D9D9D9" w:themeFill="background1" w:themeFillShade="D9"/>
            <w:vAlign w:val="center"/>
          </w:tcPr>
          <w:p w14:paraId="6A38723E" w14:textId="77777777" w:rsidR="005529AA" w:rsidRPr="00A633B4" w:rsidRDefault="005529AA" w:rsidP="004D6113">
            <w:pPr>
              <w:jc w:val="center"/>
              <w:rPr>
                <w:rFonts w:ascii="Arial" w:hAnsi="Arial" w:cs="Arial"/>
                <w:b/>
                <w:sz w:val="20"/>
                <w:szCs w:val="20"/>
              </w:rPr>
            </w:pPr>
            <w:r w:rsidRPr="00A633B4">
              <w:rPr>
                <w:rFonts w:ascii="Arial" w:hAnsi="Arial" w:cs="Arial"/>
                <w:b/>
                <w:sz w:val="20"/>
                <w:szCs w:val="20"/>
              </w:rPr>
              <w:t>EPA Action &amp; Date</w:t>
            </w:r>
          </w:p>
        </w:tc>
        <w:tc>
          <w:tcPr>
            <w:tcW w:w="3119" w:type="dxa"/>
            <w:shd w:val="clear" w:color="auto" w:fill="D9D9D9" w:themeFill="background1" w:themeFillShade="D9"/>
            <w:vAlign w:val="center"/>
          </w:tcPr>
          <w:p w14:paraId="128399C1" w14:textId="77777777" w:rsidR="005529AA" w:rsidRPr="00A633B4" w:rsidRDefault="005529AA" w:rsidP="004D6113">
            <w:pPr>
              <w:jc w:val="center"/>
              <w:rPr>
                <w:rFonts w:ascii="Arial" w:hAnsi="Arial" w:cs="Arial"/>
                <w:b/>
                <w:sz w:val="20"/>
                <w:szCs w:val="20"/>
              </w:rPr>
            </w:pPr>
            <w:r w:rsidRPr="00A633B4">
              <w:rPr>
                <w:rFonts w:ascii="Arial" w:hAnsi="Arial" w:cs="Arial"/>
                <w:b/>
                <w:sz w:val="20"/>
                <w:szCs w:val="20"/>
              </w:rPr>
              <w:t>FR Citation</w:t>
            </w:r>
          </w:p>
        </w:tc>
      </w:tr>
      <w:tr w:rsidR="005529AA" w14:paraId="7AA0D261" w14:textId="77777777" w:rsidTr="00EC2323">
        <w:trPr>
          <w:trHeight w:val="288"/>
        </w:trPr>
        <w:tc>
          <w:tcPr>
            <w:tcW w:w="3431" w:type="dxa"/>
            <w:vAlign w:val="center"/>
          </w:tcPr>
          <w:p w14:paraId="016BDC47" w14:textId="77777777" w:rsidR="005529AA" w:rsidRPr="0008072D" w:rsidRDefault="00DE3EBD" w:rsidP="00934607">
            <w:pPr>
              <w:rPr>
                <w:rFonts w:ascii="Arial" w:hAnsi="Arial" w:cs="Arial"/>
                <w:sz w:val="20"/>
                <w:szCs w:val="20"/>
              </w:rPr>
            </w:pPr>
            <w:r>
              <w:rPr>
                <w:rFonts w:ascii="Arial" w:hAnsi="Arial" w:cs="Arial"/>
                <w:sz w:val="20"/>
                <w:szCs w:val="20"/>
              </w:rPr>
              <w:t xml:space="preserve">Base </w:t>
            </w:r>
            <w:r w:rsidR="00E43C95">
              <w:rPr>
                <w:rFonts w:ascii="Arial" w:hAnsi="Arial" w:cs="Arial"/>
                <w:sz w:val="20"/>
                <w:szCs w:val="20"/>
              </w:rPr>
              <w:t>Y</w:t>
            </w:r>
            <w:r>
              <w:rPr>
                <w:rFonts w:ascii="Arial" w:hAnsi="Arial" w:cs="Arial"/>
                <w:sz w:val="20"/>
                <w:szCs w:val="20"/>
              </w:rPr>
              <w:t xml:space="preserve">ear and </w:t>
            </w:r>
            <w:r w:rsidR="00E43C95">
              <w:rPr>
                <w:rFonts w:ascii="Arial" w:hAnsi="Arial" w:cs="Arial"/>
                <w:sz w:val="20"/>
                <w:szCs w:val="20"/>
              </w:rPr>
              <w:t>P</w:t>
            </w:r>
            <w:r>
              <w:rPr>
                <w:rFonts w:ascii="Arial" w:hAnsi="Arial" w:cs="Arial"/>
                <w:sz w:val="20"/>
                <w:szCs w:val="20"/>
              </w:rPr>
              <w:t xml:space="preserve">rojection </w:t>
            </w:r>
            <w:r w:rsidR="00E43C95">
              <w:rPr>
                <w:rFonts w:ascii="Arial" w:hAnsi="Arial" w:cs="Arial"/>
                <w:sz w:val="20"/>
                <w:szCs w:val="20"/>
              </w:rPr>
              <w:t>Y</w:t>
            </w:r>
            <w:r>
              <w:rPr>
                <w:rFonts w:ascii="Arial" w:hAnsi="Arial" w:cs="Arial"/>
                <w:sz w:val="20"/>
                <w:szCs w:val="20"/>
              </w:rPr>
              <w:t xml:space="preserve">ear </w:t>
            </w:r>
            <w:r w:rsidR="00E43C95">
              <w:rPr>
                <w:rFonts w:ascii="Arial" w:hAnsi="Arial" w:cs="Arial"/>
                <w:sz w:val="20"/>
                <w:szCs w:val="20"/>
              </w:rPr>
              <w:t>E</w:t>
            </w:r>
            <w:r>
              <w:rPr>
                <w:rFonts w:ascii="Arial" w:hAnsi="Arial" w:cs="Arial"/>
                <w:sz w:val="20"/>
                <w:szCs w:val="20"/>
              </w:rPr>
              <w:t xml:space="preserve">mission </w:t>
            </w:r>
            <w:r w:rsidR="00E43C95">
              <w:rPr>
                <w:rFonts w:ascii="Arial" w:hAnsi="Arial" w:cs="Arial"/>
                <w:sz w:val="20"/>
                <w:szCs w:val="20"/>
              </w:rPr>
              <w:t>I</w:t>
            </w:r>
            <w:r>
              <w:rPr>
                <w:rFonts w:ascii="Arial" w:hAnsi="Arial" w:cs="Arial"/>
                <w:sz w:val="20"/>
                <w:szCs w:val="20"/>
              </w:rPr>
              <w:t>nventories</w:t>
            </w:r>
          </w:p>
        </w:tc>
        <w:tc>
          <w:tcPr>
            <w:tcW w:w="2810" w:type="dxa"/>
            <w:vAlign w:val="center"/>
          </w:tcPr>
          <w:p w14:paraId="21EE4A3D" w14:textId="5B09908C" w:rsidR="005529AA" w:rsidRPr="00B86992" w:rsidRDefault="00B86992" w:rsidP="00934607">
            <w:pPr>
              <w:rPr>
                <w:rFonts w:ascii="Arial" w:hAnsi="Arial" w:cs="Arial"/>
                <w:sz w:val="20"/>
                <w:szCs w:val="20"/>
              </w:rPr>
            </w:pPr>
            <w:r w:rsidRPr="00B86992">
              <w:rPr>
                <w:rFonts w:ascii="Arial" w:hAnsi="Arial" w:cs="Arial"/>
                <w:sz w:val="20"/>
                <w:szCs w:val="20"/>
              </w:rPr>
              <w:t>Pending Approval</w:t>
            </w:r>
          </w:p>
        </w:tc>
        <w:tc>
          <w:tcPr>
            <w:tcW w:w="3119" w:type="dxa"/>
            <w:vAlign w:val="center"/>
          </w:tcPr>
          <w:p w14:paraId="4DA2D3B6" w14:textId="4A988824" w:rsidR="005529AA" w:rsidRPr="00B86992" w:rsidRDefault="00B86992" w:rsidP="00934607">
            <w:pPr>
              <w:rPr>
                <w:rFonts w:ascii="Arial" w:hAnsi="Arial" w:cs="Arial"/>
                <w:sz w:val="20"/>
                <w:szCs w:val="20"/>
              </w:rPr>
            </w:pPr>
            <w:r w:rsidRPr="00B86992">
              <w:rPr>
                <w:rFonts w:ascii="Arial" w:hAnsi="Arial" w:cs="Arial"/>
                <w:sz w:val="20"/>
                <w:szCs w:val="20"/>
              </w:rPr>
              <w:t>--</w:t>
            </w:r>
          </w:p>
        </w:tc>
      </w:tr>
      <w:tr w:rsidR="006D743A" w14:paraId="0370815F" w14:textId="77777777" w:rsidTr="00EC2323">
        <w:trPr>
          <w:trHeight w:val="288"/>
        </w:trPr>
        <w:tc>
          <w:tcPr>
            <w:tcW w:w="3431" w:type="dxa"/>
            <w:vAlign w:val="center"/>
          </w:tcPr>
          <w:p w14:paraId="06B3D2EB" w14:textId="77777777" w:rsidR="006D743A" w:rsidRPr="0008072D" w:rsidRDefault="006D743A" w:rsidP="006D743A">
            <w:pPr>
              <w:rPr>
                <w:rFonts w:ascii="Arial" w:hAnsi="Arial" w:cs="Arial"/>
                <w:sz w:val="20"/>
                <w:szCs w:val="20"/>
              </w:rPr>
            </w:pPr>
            <w:r>
              <w:rPr>
                <w:rFonts w:ascii="Arial" w:hAnsi="Arial" w:cs="Arial"/>
                <w:sz w:val="20"/>
                <w:szCs w:val="20"/>
              </w:rPr>
              <w:t>Modeled Attainment D</w:t>
            </w:r>
            <w:r w:rsidRPr="0008072D">
              <w:rPr>
                <w:rFonts w:ascii="Arial" w:hAnsi="Arial" w:cs="Arial"/>
                <w:sz w:val="20"/>
                <w:szCs w:val="20"/>
              </w:rPr>
              <w:t>emonstration</w:t>
            </w:r>
          </w:p>
        </w:tc>
        <w:tc>
          <w:tcPr>
            <w:tcW w:w="2810" w:type="dxa"/>
            <w:vAlign w:val="center"/>
          </w:tcPr>
          <w:p w14:paraId="4E82185C" w14:textId="7143481B" w:rsidR="006D743A" w:rsidRPr="00113E09" w:rsidRDefault="004C2EDF" w:rsidP="006D743A">
            <w:pPr>
              <w:rPr>
                <w:rFonts w:ascii="Arial" w:hAnsi="Arial" w:cs="Arial"/>
                <w:sz w:val="20"/>
                <w:szCs w:val="20"/>
              </w:rPr>
            </w:pPr>
            <w:r w:rsidRPr="00113E09">
              <w:rPr>
                <w:rFonts w:ascii="Arial" w:hAnsi="Arial" w:cs="Arial"/>
                <w:sz w:val="20"/>
                <w:szCs w:val="20"/>
              </w:rPr>
              <w:t>Clean Data Determination</w:t>
            </w:r>
          </w:p>
        </w:tc>
        <w:tc>
          <w:tcPr>
            <w:tcW w:w="3119" w:type="dxa"/>
            <w:vAlign w:val="center"/>
          </w:tcPr>
          <w:p w14:paraId="6FED7363" w14:textId="48E4B20A" w:rsidR="006D743A" w:rsidRPr="00EC2323" w:rsidRDefault="004C2EDF" w:rsidP="006D743A">
            <w:pPr>
              <w:rPr>
                <w:rFonts w:ascii="Arial" w:hAnsi="Arial" w:cs="Arial"/>
                <w:sz w:val="20"/>
                <w:szCs w:val="20"/>
                <w:u w:val="single"/>
              </w:rPr>
            </w:pPr>
            <w:r w:rsidRPr="00EC2323">
              <w:rPr>
                <w:rFonts w:ascii="Arial" w:hAnsi="Arial" w:cs="Arial"/>
                <w:sz w:val="20"/>
                <w:szCs w:val="20"/>
                <w:u w:val="single"/>
              </w:rPr>
              <w:t>84 FR 51055</w:t>
            </w:r>
          </w:p>
        </w:tc>
      </w:tr>
      <w:tr w:rsidR="006D743A" w14:paraId="6648CDFB" w14:textId="77777777" w:rsidTr="00EC2323">
        <w:trPr>
          <w:trHeight w:val="288"/>
        </w:trPr>
        <w:tc>
          <w:tcPr>
            <w:tcW w:w="3431" w:type="dxa"/>
            <w:vAlign w:val="center"/>
          </w:tcPr>
          <w:p w14:paraId="0E1FDC47" w14:textId="77777777" w:rsidR="006D743A" w:rsidRPr="0008072D" w:rsidRDefault="006D743A" w:rsidP="006D743A">
            <w:pPr>
              <w:rPr>
                <w:rFonts w:ascii="Arial" w:hAnsi="Arial" w:cs="Arial"/>
                <w:sz w:val="20"/>
                <w:szCs w:val="20"/>
              </w:rPr>
            </w:pPr>
            <w:r>
              <w:rPr>
                <w:rFonts w:ascii="Arial" w:hAnsi="Arial" w:cs="Arial"/>
                <w:sz w:val="20"/>
                <w:szCs w:val="20"/>
              </w:rPr>
              <w:t>B</w:t>
            </w:r>
            <w:r w:rsidRPr="0008072D">
              <w:rPr>
                <w:rFonts w:ascii="Arial" w:hAnsi="Arial" w:cs="Arial"/>
                <w:sz w:val="20"/>
                <w:szCs w:val="20"/>
              </w:rPr>
              <w:t>ACT</w:t>
            </w:r>
          </w:p>
        </w:tc>
        <w:tc>
          <w:tcPr>
            <w:tcW w:w="2810" w:type="dxa"/>
            <w:vAlign w:val="center"/>
          </w:tcPr>
          <w:p w14:paraId="77523D32" w14:textId="36193D8C" w:rsidR="006D743A" w:rsidRPr="00C52AEE" w:rsidRDefault="00C50523" w:rsidP="006D743A">
            <w:pPr>
              <w:rPr>
                <w:rFonts w:ascii="Arial" w:hAnsi="Arial" w:cs="Arial"/>
                <w:sz w:val="20"/>
                <w:szCs w:val="20"/>
              </w:rPr>
            </w:pPr>
            <w:r w:rsidRPr="00C52AEE">
              <w:rPr>
                <w:rFonts w:ascii="Arial" w:hAnsi="Arial" w:cs="Arial"/>
                <w:sz w:val="20"/>
                <w:szCs w:val="20"/>
              </w:rPr>
              <w:t>Pending Approval</w:t>
            </w:r>
          </w:p>
        </w:tc>
        <w:tc>
          <w:tcPr>
            <w:tcW w:w="3119" w:type="dxa"/>
            <w:vAlign w:val="center"/>
          </w:tcPr>
          <w:p w14:paraId="2902AA37" w14:textId="47DCC291" w:rsidR="006D743A" w:rsidRPr="00C52AEE" w:rsidRDefault="00C50523" w:rsidP="006D743A">
            <w:pPr>
              <w:rPr>
                <w:rFonts w:ascii="Arial" w:hAnsi="Arial" w:cs="Arial"/>
                <w:sz w:val="20"/>
                <w:szCs w:val="20"/>
              </w:rPr>
            </w:pPr>
            <w:r w:rsidRPr="00C52AEE">
              <w:rPr>
                <w:rFonts w:ascii="Arial" w:hAnsi="Arial" w:cs="Arial"/>
                <w:sz w:val="20"/>
                <w:szCs w:val="20"/>
              </w:rPr>
              <w:t>--</w:t>
            </w:r>
          </w:p>
        </w:tc>
      </w:tr>
      <w:bookmarkEnd w:id="19"/>
      <w:tr w:rsidR="006D743A" w14:paraId="3E6848F1" w14:textId="77777777" w:rsidTr="00EC2323">
        <w:trPr>
          <w:trHeight w:val="288"/>
        </w:trPr>
        <w:tc>
          <w:tcPr>
            <w:tcW w:w="3431" w:type="dxa"/>
            <w:vAlign w:val="center"/>
          </w:tcPr>
          <w:p w14:paraId="1212F366" w14:textId="4702E8D7" w:rsidR="006D743A" w:rsidRPr="00C67AA2" w:rsidRDefault="006D743A" w:rsidP="006D743A">
            <w:pPr>
              <w:rPr>
                <w:rFonts w:ascii="Arial" w:hAnsi="Arial" w:cs="Arial"/>
                <w:sz w:val="20"/>
                <w:szCs w:val="20"/>
              </w:rPr>
            </w:pPr>
            <w:r>
              <w:rPr>
                <w:rFonts w:ascii="Arial" w:hAnsi="Arial" w:cs="Arial"/>
                <w:sz w:val="20"/>
                <w:szCs w:val="20"/>
              </w:rPr>
              <w:lastRenderedPageBreak/>
              <w:t xml:space="preserve">On-Road </w:t>
            </w:r>
            <w:r w:rsidR="000443F6">
              <w:rPr>
                <w:rFonts w:ascii="Arial" w:hAnsi="Arial" w:cs="Arial"/>
                <w:sz w:val="20"/>
                <w:szCs w:val="20"/>
              </w:rPr>
              <w:t xml:space="preserve">Mobile </w:t>
            </w:r>
            <w:r w:rsidR="005E7E90">
              <w:rPr>
                <w:rFonts w:ascii="Arial" w:hAnsi="Arial" w:cs="Arial"/>
                <w:sz w:val="20"/>
                <w:szCs w:val="20"/>
              </w:rPr>
              <w:t>B</w:t>
            </w:r>
            <w:r>
              <w:rPr>
                <w:rFonts w:ascii="Arial" w:hAnsi="Arial" w:cs="Arial"/>
                <w:sz w:val="20"/>
                <w:szCs w:val="20"/>
              </w:rPr>
              <w:t>AC</w:t>
            </w:r>
            <w:r w:rsidR="005E7E90">
              <w:rPr>
                <w:rFonts w:ascii="Arial" w:hAnsi="Arial" w:cs="Arial"/>
                <w:sz w:val="20"/>
                <w:szCs w:val="20"/>
              </w:rPr>
              <w:t>M</w:t>
            </w:r>
            <w:r>
              <w:rPr>
                <w:rFonts w:ascii="Arial" w:hAnsi="Arial" w:cs="Arial"/>
                <w:sz w:val="20"/>
                <w:szCs w:val="20"/>
              </w:rPr>
              <w:t xml:space="preserve"> </w:t>
            </w:r>
          </w:p>
        </w:tc>
        <w:tc>
          <w:tcPr>
            <w:tcW w:w="2810" w:type="dxa"/>
            <w:vAlign w:val="center"/>
          </w:tcPr>
          <w:p w14:paraId="16C20CAB" w14:textId="515DFBF6" w:rsidR="006D743A" w:rsidRPr="00C67AA2" w:rsidRDefault="00153DC7" w:rsidP="00CA33A3">
            <w:pPr>
              <w:rPr>
                <w:rFonts w:ascii="Arial" w:hAnsi="Arial" w:cs="Arial"/>
                <w:sz w:val="20"/>
                <w:szCs w:val="20"/>
              </w:rPr>
            </w:pPr>
            <w:r>
              <w:rPr>
                <w:rFonts w:ascii="Arial" w:hAnsi="Arial" w:cs="Arial"/>
                <w:sz w:val="20"/>
                <w:szCs w:val="20"/>
              </w:rPr>
              <w:t>Pending Approval</w:t>
            </w:r>
          </w:p>
        </w:tc>
        <w:tc>
          <w:tcPr>
            <w:tcW w:w="3119" w:type="dxa"/>
            <w:vAlign w:val="center"/>
          </w:tcPr>
          <w:p w14:paraId="2D6CB4FE" w14:textId="696F7C8B" w:rsidR="006D743A" w:rsidRPr="00153DC7" w:rsidRDefault="00153DC7" w:rsidP="006D743A">
            <w:pPr>
              <w:rPr>
                <w:rFonts w:ascii="Arial" w:hAnsi="Arial" w:cs="Arial"/>
                <w:sz w:val="20"/>
                <w:szCs w:val="20"/>
              </w:rPr>
            </w:pPr>
            <w:r w:rsidRPr="00153DC7">
              <w:rPr>
                <w:rFonts w:ascii="Arial" w:hAnsi="Arial" w:cs="Arial"/>
                <w:sz w:val="20"/>
                <w:szCs w:val="20"/>
              </w:rPr>
              <w:t>--</w:t>
            </w:r>
          </w:p>
        </w:tc>
      </w:tr>
      <w:tr w:rsidR="006D743A" w14:paraId="2E72692E" w14:textId="77777777" w:rsidTr="00EC2323">
        <w:trPr>
          <w:trHeight w:val="288"/>
        </w:trPr>
        <w:tc>
          <w:tcPr>
            <w:tcW w:w="3431" w:type="dxa"/>
            <w:vAlign w:val="center"/>
          </w:tcPr>
          <w:p w14:paraId="41C32921" w14:textId="08A03A5F" w:rsidR="006D743A" w:rsidRPr="00EE40DC" w:rsidRDefault="000443F6" w:rsidP="006D743A">
            <w:pPr>
              <w:rPr>
                <w:rFonts w:ascii="Arial" w:hAnsi="Arial" w:cs="Arial"/>
                <w:sz w:val="20"/>
                <w:szCs w:val="20"/>
              </w:rPr>
            </w:pPr>
            <w:r>
              <w:rPr>
                <w:rFonts w:ascii="Arial" w:hAnsi="Arial" w:cs="Arial"/>
                <w:sz w:val="20"/>
                <w:szCs w:val="20"/>
              </w:rPr>
              <w:t>Non-Road Mobile BACM</w:t>
            </w:r>
          </w:p>
        </w:tc>
        <w:tc>
          <w:tcPr>
            <w:tcW w:w="2810" w:type="dxa"/>
            <w:vAlign w:val="center"/>
          </w:tcPr>
          <w:p w14:paraId="6592CC2C" w14:textId="48490B4D" w:rsidR="006D743A" w:rsidRPr="005E7E90" w:rsidRDefault="00D1741F" w:rsidP="00ED40A5">
            <w:pPr>
              <w:rPr>
                <w:rFonts w:ascii="Arial" w:hAnsi="Arial" w:cs="Arial"/>
                <w:color w:val="FF0000"/>
                <w:sz w:val="20"/>
                <w:szCs w:val="20"/>
              </w:rPr>
            </w:pPr>
            <w:r>
              <w:rPr>
                <w:rFonts w:ascii="Arial" w:hAnsi="Arial" w:cs="Arial"/>
                <w:sz w:val="20"/>
                <w:szCs w:val="20"/>
              </w:rPr>
              <w:t>Pending Approval</w:t>
            </w:r>
          </w:p>
        </w:tc>
        <w:tc>
          <w:tcPr>
            <w:tcW w:w="3119" w:type="dxa"/>
            <w:vAlign w:val="center"/>
          </w:tcPr>
          <w:p w14:paraId="4BAFB2FD" w14:textId="53D769FA" w:rsidR="006D743A" w:rsidRPr="00D1741F" w:rsidRDefault="00D1741F" w:rsidP="006D743A">
            <w:pPr>
              <w:rPr>
                <w:rFonts w:ascii="Arial" w:hAnsi="Arial" w:cs="Arial"/>
                <w:sz w:val="20"/>
                <w:szCs w:val="20"/>
              </w:rPr>
            </w:pPr>
            <w:r w:rsidRPr="00D1741F">
              <w:rPr>
                <w:rFonts w:ascii="Arial" w:hAnsi="Arial" w:cs="Arial"/>
                <w:sz w:val="20"/>
                <w:szCs w:val="20"/>
              </w:rPr>
              <w:t>--</w:t>
            </w:r>
          </w:p>
        </w:tc>
      </w:tr>
      <w:tr w:rsidR="006D743A" w14:paraId="7E069E75" w14:textId="77777777" w:rsidTr="00EC2323">
        <w:trPr>
          <w:trHeight w:val="288"/>
        </w:trPr>
        <w:tc>
          <w:tcPr>
            <w:tcW w:w="3431" w:type="dxa"/>
            <w:vAlign w:val="center"/>
          </w:tcPr>
          <w:p w14:paraId="7639D84F" w14:textId="1E0C6D94" w:rsidR="006D743A" w:rsidRPr="00C67AA2" w:rsidRDefault="000443F6" w:rsidP="006D743A">
            <w:pPr>
              <w:rPr>
                <w:rFonts w:ascii="Arial" w:hAnsi="Arial" w:cs="Arial"/>
                <w:sz w:val="20"/>
                <w:szCs w:val="20"/>
              </w:rPr>
            </w:pPr>
            <w:bookmarkStart w:id="22" w:name="_GoBack"/>
            <w:r>
              <w:rPr>
                <w:rFonts w:ascii="Arial" w:hAnsi="Arial" w:cs="Arial"/>
                <w:sz w:val="20"/>
                <w:szCs w:val="20"/>
              </w:rPr>
              <w:t>Area Source BACM</w:t>
            </w:r>
          </w:p>
        </w:tc>
        <w:tc>
          <w:tcPr>
            <w:tcW w:w="2810" w:type="dxa"/>
            <w:vAlign w:val="center"/>
          </w:tcPr>
          <w:p w14:paraId="503843FB" w14:textId="3FA3FBA5" w:rsidR="006D743A" w:rsidRPr="00153DC7" w:rsidRDefault="00153DC7" w:rsidP="00CA33A3">
            <w:pPr>
              <w:rPr>
                <w:rFonts w:ascii="Arial" w:hAnsi="Arial" w:cs="Arial"/>
                <w:sz w:val="20"/>
                <w:szCs w:val="20"/>
              </w:rPr>
            </w:pPr>
            <w:r w:rsidRPr="00153DC7">
              <w:rPr>
                <w:rFonts w:ascii="Arial" w:hAnsi="Arial" w:cs="Arial"/>
                <w:sz w:val="20"/>
                <w:szCs w:val="20"/>
              </w:rPr>
              <w:t>Pending Approval</w:t>
            </w:r>
          </w:p>
        </w:tc>
        <w:tc>
          <w:tcPr>
            <w:tcW w:w="3119" w:type="dxa"/>
            <w:vAlign w:val="center"/>
          </w:tcPr>
          <w:p w14:paraId="1994D6F1" w14:textId="6403F8E9" w:rsidR="006D743A" w:rsidRPr="00153DC7" w:rsidRDefault="00153DC7" w:rsidP="006D743A">
            <w:pPr>
              <w:rPr>
                <w:rFonts w:ascii="Arial" w:hAnsi="Arial" w:cs="Arial"/>
                <w:sz w:val="20"/>
                <w:szCs w:val="20"/>
              </w:rPr>
            </w:pPr>
            <w:r w:rsidRPr="00153DC7">
              <w:rPr>
                <w:rFonts w:ascii="Arial" w:hAnsi="Arial" w:cs="Arial"/>
                <w:sz w:val="20"/>
                <w:szCs w:val="20"/>
              </w:rPr>
              <w:t>--</w:t>
            </w:r>
          </w:p>
        </w:tc>
      </w:tr>
      <w:bookmarkEnd w:id="22"/>
      <w:tr w:rsidR="00D1741F" w14:paraId="51AD9B30" w14:textId="77777777" w:rsidTr="00EC2323">
        <w:trPr>
          <w:trHeight w:val="288"/>
        </w:trPr>
        <w:tc>
          <w:tcPr>
            <w:tcW w:w="3431" w:type="dxa"/>
            <w:vAlign w:val="center"/>
          </w:tcPr>
          <w:p w14:paraId="4C982DCD" w14:textId="06915147" w:rsidR="00D1741F" w:rsidRDefault="00D1741F" w:rsidP="006D743A">
            <w:pPr>
              <w:rPr>
                <w:rFonts w:ascii="Arial" w:hAnsi="Arial" w:cs="Arial"/>
                <w:sz w:val="20"/>
                <w:szCs w:val="20"/>
              </w:rPr>
            </w:pPr>
            <w:r>
              <w:rPr>
                <w:rFonts w:ascii="Arial" w:hAnsi="Arial" w:cs="Arial"/>
                <w:sz w:val="20"/>
                <w:szCs w:val="20"/>
              </w:rPr>
              <w:t>MVEB</w:t>
            </w:r>
          </w:p>
        </w:tc>
        <w:tc>
          <w:tcPr>
            <w:tcW w:w="2810" w:type="dxa"/>
            <w:vAlign w:val="center"/>
          </w:tcPr>
          <w:p w14:paraId="629DC817" w14:textId="68461234" w:rsidR="00D1741F" w:rsidRDefault="00D1741F" w:rsidP="00D1741F">
            <w:pPr>
              <w:rPr>
                <w:rFonts w:ascii="Arial" w:hAnsi="Arial" w:cs="Arial"/>
                <w:sz w:val="20"/>
                <w:szCs w:val="20"/>
              </w:rPr>
            </w:pPr>
            <w:r w:rsidRPr="001F7306">
              <w:rPr>
                <w:rFonts w:ascii="Arial" w:hAnsi="Arial" w:cs="Arial"/>
                <w:sz w:val="20"/>
                <w:szCs w:val="20"/>
              </w:rPr>
              <w:t>Clean Data Determination</w:t>
            </w:r>
          </w:p>
          <w:p w14:paraId="0521EDB7" w14:textId="3D9C02D1" w:rsidR="00D1741F" w:rsidRPr="00113E09" w:rsidRDefault="004C2EDF" w:rsidP="00D1741F">
            <w:pPr>
              <w:rPr>
                <w:rFonts w:ascii="Arial" w:hAnsi="Arial" w:cs="Arial"/>
                <w:sz w:val="20"/>
                <w:szCs w:val="20"/>
              </w:rPr>
            </w:pPr>
            <w:r w:rsidRPr="00113E09">
              <w:rPr>
                <w:rFonts w:ascii="Arial" w:hAnsi="Arial" w:cs="Arial"/>
                <w:sz w:val="20"/>
                <w:szCs w:val="20"/>
              </w:rPr>
              <w:t>Approved on 09/27/2019</w:t>
            </w:r>
          </w:p>
        </w:tc>
        <w:tc>
          <w:tcPr>
            <w:tcW w:w="3119" w:type="dxa"/>
            <w:vAlign w:val="center"/>
          </w:tcPr>
          <w:p w14:paraId="01A9299A" w14:textId="73A3AE89" w:rsidR="00D1741F" w:rsidRPr="00113E09" w:rsidRDefault="00E000A8" w:rsidP="006D743A">
            <w:pPr>
              <w:rPr>
                <w:rFonts w:ascii="Arial" w:hAnsi="Arial" w:cs="Arial"/>
                <w:sz w:val="20"/>
                <w:szCs w:val="20"/>
              </w:rPr>
            </w:pPr>
            <w:r w:rsidRPr="00113E09">
              <w:rPr>
                <w:rFonts w:ascii="Arial" w:hAnsi="Arial" w:cs="Arial"/>
                <w:sz w:val="20"/>
                <w:szCs w:val="20"/>
              </w:rPr>
              <w:t xml:space="preserve">84 FR </w:t>
            </w:r>
            <w:r w:rsidR="004C2EDF" w:rsidRPr="00113E09">
              <w:rPr>
                <w:rFonts w:ascii="Arial" w:hAnsi="Arial" w:cs="Arial"/>
                <w:sz w:val="20"/>
                <w:szCs w:val="20"/>
              </w:rPr>
              <w:t>510558</w:t>
            </w:r>
          </w:p>
        </w:tc>
      </w:tr>
      <w:tr w:rsidR="00EC2323" w14:paraId="3C024FBF" w14:textId="77777777" w:rsidTr="00EC2323">
        <w:trPr>
          <w:trHeight w:val="288"/>
        </w:trPr>
        <w:tc>
          <w:tcPr>
            <w:tcW w:w="3431" w:type="dxa"/>
            <w:vAlign w:val="center"/>
          </w:tcPr>
          <w:p w14:paraId="5EF9F692" w14:textId="77777777" w:rsidR="00EC2323" w:rsidRPr="00C67AA2" w:rsidRDefault="00EC2323" w:rsidP="00EC2323">
            <w:pPr>
              <w:rPr>
                <w:rFonts w:ascii="Arial" w:hAnsi="Arial" w:cs="Arial"/>
                <w:sz w:val="20"/>
                <w:szCs w:val="20"/>
              </w:rPr>
            </w:pPr>
            <w:r>
              <w:rPr>
                <w:rFonts w:ascii="Arial" w:hAnsi="Arial" w:cs="Arial"/>
                <w:sz w:val="20"/>
                <w:szCs w:val="20"/>
              </w:rPr>
              <w:t>Nonattainment New Source R</w:t>
            </w:r>
            <w:r w:rsidRPr="00C67AA2">
              <w:rPr>
                <w:rFonts w:ascii="Arial" w:hAnsi="Arial" w:cs="Arial"/>
                <w:sz w:val="20"/>
                <w:szCs w:val="20"/>
              </w:rPr>
              <w:t>eview</w:t>
            </w:r>
            <w:r>
              <w:rPr>
                <w:rFonts w:ascii="Arial" w:hAnsi="Arial" w:cs="Arial"/>
                <w:sz w:val="20"/>
                <w:szCs w:val="20"/>
              </w:rPr>
              <w:t xml:space="preserve"> (R307-403)</w:t>
            </w:r>
          </w:p>
        </w:tc>
        <w:tc>
          <w:tcPr>
            <w:tcW w:w="2810" w:type="dxa"/>
            <w:vAlign w:val="center"/>
          </w:tcPr>
          <w:p w14:paraId="4A390882" w14:textId="7D327974" w:rsidR="00EC2323" w:rsidRPr="001F7306" w:rsidRDefault="00EC2323" w:rsidP="00EC2323">
            <w:pPr>
              <w:rPr>
                <w:rFonts w:ascii="Arial" w:hAnsi="Arial" w:cs="Arial"/>
                <w:sz w:val="20"/>
                <w:szCs w:val="20"/>
              </w:rPr>
            </w:pPr>
            <w:r w:rsidRPr="001F7306">
              <w:rPr>
                <w:rFonts w:ascii="Arial" w:hAnsi="Arial" w:cs="Arial"/>
                <w:sz w:val="20"/>
                <w:szCs w:val="20"/>
              </w:rPr>
              <w:t>Approved on 7/25/2019</w:t>
            </w:r>
          </w:p>
        </w:tc>
        <w:tc>
          <w:tcPr>
            <w:tcW w:w="3119" w:type="dxa"/>
            <w:vAlign w:val="center"/>
          </w:tcPr>
          <w:p w14:paraId="1A835937" w14:textId="5EB25EB4" w:rsidR="00EC2323" w:rsidRPr="00113E09" w:rsidRDefault="00EC2323" w:rsidP="00EC2323">
            <w:pPr>
              <w:rPr>
                <w:rFonts w:ascii="Arial" w:hAnsi="Arial" w:cs="Arial"/>
                <w:sz w:val="20"/>
                <w:szCs w:val="20"/>
              </w:rPr>
            </w:pPr>
            <w:r w:rsidRPr="00113E09">
              <w:rPr>
                <w:rFonts w:ascii="Arial" w:hAnsi="Arial" w:cs="Arial"/>
                <w:sz w:val="20"/>
                <w:szCs w:val="20"/>
              </w:rPr>
              <w:t xml:space="preserve"> 84 FR 510558</w:t>
            </w:r>
          </w:p>
        </w:tc>
      </w:tr>
      <w:tr w:rsidR="00EC2323" w14:paraId="414383CB" w14:textId="77777777" w:rsidTr="00EC2323">
        <w:trPr>
          <w:trHeight w:val="288"/>
        </w:trPr>
        <w:tc>
          <w:tcPr>
            <w:tcW w:w="3431" w:type="dxa"/>
            <w:vAlign w:val="center"/>
          </w:tcPr>
          <w:p w14:paraId="3FBA3824" w14:textId="77777777" w:rsidR="00EC2323" w:rsidRPr="00113E09" w:rsidRDefault="00EC2323" w:rsidP="00EC2323">
            <w:pPr>
              <w:rPr>
                <w:rFonts w:ascii="Arial" w:hAnsi="Arial" w:cs="Arial"/>
                <w:sz w:val="20"/>
                <w:szCs w:val="20"/>
              </w:rPr>
            </w:pPr>
            <w:r w:rsidRPr="00113E09">
              <w:rPr>
                <w:rFonts w:ascii="Arial" w:hAnsi="Arial" w:cs="Arial"/>
                <w:sz w:val="20"/>
                <w:szCs w:val="20"/>
              </w:rPr>
              <w:t>Reasonable Further Progress</w:t>
            </w:r>
          </w:p>
        </w:tc>
        <w:tc>
          <w:tcPr>
            <w:tcW w:w="2810" w:type="dxa"/>
            <w:vAlign w:val="center"/>
          </w:tcPr>
          <w:p w14:paraId="66088A2D" w14:textId="4916C754" w:rsidR="00EC2323" w:rsidRPr="00113E09" w:rsidRDefault="00EC2323" w:rsidP="00EC2323">
            <w:pPr>
              <w:rPr>
                <w:rFonts w:ascii="Arial" w:hAnsi="Arial" w:cs="Arial"/>
                <w:sz w:val="20"/>
                <w:szCs w:val="20"/>
              </w:rPr>
            </w:pPr>
            <w:r w:rsidRPr="00113E09">
              <w:rPr>
                <w:rFonts w:ascii="Arial" w:hAnsi="Arial" w:cs="Arial"/>
                <w:sz w:val="20"/>
                <w:szCs w:val="20"/>
              </w:rPr>
              <w:t>Clean Data Determination</w:t>
            </w:r>
          </w:p>
          <w:p w14:paraId="70A9DD07" w14:textId="7C7E2C1B" w:rsidR="00EC2323" w:rsidRPr="00113E09" w:rsidRDefault="00EC2323" w:rsidP="00EC2323">
            <w:pPr>
              <w:rPr>
                <w:rFonts w:ascii="Arial" w:hAnsi="Arial" w:cs="Arial"/>
                <w:sz w:val="20"/>
                <w:szCs w:val="20"/>
              </w:rPr>
            </w:pPr>
            <w:r w:rsidRPr="00113E09">
              <w:rPr>
                <w:rFonts w:ascii="Arial" w:hAnsi="Arial" w:cs="Arial"/>
                <w:sz w:val="20"/>
                <w:szCs w:val="20"/>
              </w:rPr>
              <w:t>Approved on 09/27/2019</w:t>
            </w:r>
          </w:p>
        </w:tc>
        <w:tc>
          <w:tcPr>
            <w:tcW w:w="3119" w:type="dxa"/>
            <w:vAlign w:val="center"/>
          </w:tcPr>
          <w:p w14:paraId="3F9138F9" w14:textId="0D2E9FA9" w:rsidR="00EC2323" w:rsidRPr="00113E09" w:rsidRDefault="00EC2323" w:rsidP="00EC2323">
            <w:pPr>
              <w:rPr>
                <w:rFonts w:ascii="Arial" w:hAnsi="Arial" w:cs="Arial"/>
                <w:sz w:val="20"/>
                <w:szCs w:val="20"/>
              </w:rPr>
            </w:pPr>
            <w:r w:rsidRPr="00113E09">
              <w:rPr>
                <w:rFonts w:ascii="Arial" w:hAnsi="Arial" w:cs="Arial"/>
                <w:sz w:val="20"/>
                <w:szCs w:val="20"/>
              </w:rPr>
              <w:t>84 FR 510558</w:t>
            </w:r>
          </w:p>
        </w:tc>
      </w:tr>
      <w:tr w:rsidR="00EC2323" w14:paraId="60309F7E" w14:textId="77777777" w:rsidTr="00EC2323">
        <w:trPr>
          <w:trHeight w:val="288"/>
        </w:trPr>
        <w:tc>
          <w:tcPr>
            <w:tcW w:w="3431" w:type="dxa"/>
            <w:vAlign w:val="center"/>
          </w:tcPr>
          <w:p w14:paraId="5623ECB2" w14:textId="77777777" w:rsidR="00EC2323" w:rsidRDefault="00EC2323" w:rsidP="00EC2323">
            <w:pPr>
              <w:rPr>
                <w:rFonts w:ascii="Arial" w:hAnsi="Arial" w:cs="Arial"/>
                <w:sz w:val="20"/>
                <w:szCs w:val="20"/>
              </w:rPr>
            </w:pPr>
            <w:r>
              <w:rPr>
                <w:rFonts w:ascii="Arial" w:hAnsi="Arial" w:cs="Arial"/>
                <w:sz w:val="20"/>
                <w:szCs w:val="20"/>
              </w:rPr>
              <w:t>Quantitative Milestones</w:t>
            </w:r>
          </w:p>
        </w:tc>
        <w:tc>
          <w:tcPr>
            <w:tcW w:w="2810" w:type="dxa"/>
            <w:vAlign w:val="center"/>
          </w:tcPr>
          <w:p w14:paraId="3B3C3C5C" w14:textId="360A9491" w:rsidR="00EC2323" w:rsidRPr="00113E09" w:rsidRDefault="00EC2323" w:rsidP="00EC2323">
            <w:pPr>
              <w:rPr>
                <w:rFonts w:ascii="Arial" w:hAnsi="Arial" w:cs="Arial"/>
                <w:sz w:val="20"/>
                <w:szCs w:val="20"/>
              </w:rPr>
            </w:pPr>
            <w:r w:rsidRPr="00113E09">
              <w:rPr>
                <w:rFonts w:ascii="Arial" w:hAnsi="Arial" w:cs="Arial"/>
                <w:sz w:val="20"/>
                <w:szCs w:val="20"/>
              </w:rPr>
              <w:t>Clean Data Determination</w:t>
            </w:r>
          </w:p>
          <w:p w14:paraId="10E46B25" w14:textId="2F687CC8" w:rsidR="00EC2323" w:rsidRPr="00113E09" w:rsidRDefault="00EC2323" w:rsidP="00EC2323">
            <w:pPr>
              <w:rPr>
                <w:rFonts w:ascii="Arial" w:hAnsi="Arial" w:cs="Arial"/>
                <w:sz w:val="20"/>
                <w:szCs w:val="20"/>
              </w:rPr>
            </w:pPr>
            <w:r w:rsidRPr="00113E09">
              <w:rPr>
                <w:rFonts w:ascii="Arial" w:hAnsi="Arial" w:cs="Arial"/>
                <w:sz w:val="20"/>
                <w:szCs w:val="20"/>
              </w:rPr>
              <w:t>Approved on 09/27/2019</w:t>
            </w:r>
          </w:p>
        </w:tc>
        <w:tc>
          <w:tcPr>
            <w:tcW w:w="3119" w:type="dxa"/>
            <w:vAlign w:val="center"/>
          </w:tcPr>
          <w:p w14:paraId="25EF1620" w14:textId="50AFD4A9" w:rsidR="00EC2323" w:rsidRPr="00113E09" w:rsidRDefault="00EC2323" w:rsidP="00EC2323">
            <w:pPr>
              <w:rPr>
                <w:rFonts w:ascii="Arial" w:hAnsi="Arial" w:cs="Arial"/>
                <w:sz w:val="20"/>
                <w:szCs w:val="20"/>
              </w:rPr>
            </w:pPr>
            <w:r w:rsidRPr="00113E09">
              <w:rPr>
                <w:rFonts w:ascii="Arial" w:hAnsi="Arial" w:cs="Arial"/>
                <w:sz w:val="20"/>
                <w:szCs w:val="20"/>
              </w:rPr>
              <w:t>84 FR 510558</w:t>
            </w:r>
          </w:p>
        </w:tc>
      </w:tr>
      <w:tr w:rsidR="00EC2323" w14:paraId="7724D421" w14:textId="77777777" w:rsidTr="00EC2323">
        <w:trPr>
          <w:trHeight w:val="288"/>
        </w:trPr>
        <w:tc>
          <w:tcPr>
            <w:tcW w:w="3431" w:type="dxa"/>
            <w:vAlign w:val="center"/>
          </w:tcPr>
          <w:p w14:paraId="446384C2" w14:textId="77777777" w:rsidR="00EC2323" w:rsidRDefault="00EC2323" w:rsidP="00EC2323">
            <w:pPr>
              <w:rPr>
                <w:rFonts w:ascii="Arial" w:hAnsi="Arial" w:cs="Arial"/>
                <w:sz w:val="20"/>
                <w:szCs w:val="20"/>
              </w:rPr>
            </w:pPr>
            <w:r>
              <w:rPr>
                <w:rFonts w:ascii="Arial" w:hAnsi="Arial" w:cs="Arial"/>
                <w:sz w:val="20"/>
                <w:szCs w:val="20"/>
              </w:rPr>
              <w:t>Contingency Measures</w:t>
            </w:r>
          </w:p>
        </w:tc>
        <w:tc>
          <w:tcPr>
            <w:tcW w:w="2810" w:type="dxa"/>
            <w:vAlign w:val="center"/>
          </w:tcPr>
          <w:p w14:paraId="38E8D41A" w14:textId="3A7AD614" w:rsidR="00EC2323" w:rsidRPr="00113E09" w:rsidRDefault="00EC2323" w:rsidP="00EC2323">
            <w:pPr>
              <w:rPr>
                <w:rFonts w:ascii="Arial" w:hAnsi="Arial" w:cs="Arial"/>
                <w:sz w:val="20"/>
                <w:szCs w:val="20"/>
              </w:rPr>
            </w:pPr>
            <w:r w:rsidRPr="00113E09">
              <w:rPr>
                <w:rFonts w:ascii="Arial" w:hAnsi="Arial" w:cs="Arial"/>
                <w:sz w:val="20"/>
                <w:szCs w:val="20"/>
              </w:rPr>
              <w:t>Clean Data Determination</w:t>
            </w:r>
          </w:p>
          <w:p w14:paraId="571DCA2D" w14:textId="0D223121" w:rsidR="00EC2323" w:rsidRPr="00113E09" w:rsidRDefault="00EC2323" w:rsidP="00EC2323">
            <w:pPr>
              <w:rPr>
                <w:rFonts w:ascii="Arial" w:hAnsi="Arial" w:cs="Arial"/>
                <w:sz w:val="20"/>
                <w:szCs w:val="20"/>
              </w:rPr>
            </w:pPr>
            <w:r w:rsidRPr="00113E09">
              <w:rPr>
                <w:rFonts w:ascii="Arial" w:hAnsi="Arial" w:cs="Arial"/>
                <w:sz w:val="20"/>
                <w:szCs w:val="20"/>
              </w:rPr>
              <w:t>Approved on 09/27/2019</w:t>
            </w:r>
          </w:p>
        </w:tc>
        <w:tc>
          <w:tcPr>
            <w:tcW w:w="3119" w:type="dxa"/>
            <w:vAlign w:val="center"/>
          </w:tcPr>
          <w:p w14:paraId="2CE20D4B" w14:textId="77E04037" w:rsidR="00EC2323" w:rsidRPr="00113E09" w:rsidRDefault="00EC2323" w:rsidP="00EC2323">
            <w:pPr>
              <w:keepNext/>
              <w:rPr>
                <w:rFonts w:ascii="Arial" w:hAnsi="Arial" w:cs="Arial"/>
                <w:sz w:val="20"/>
                <w:szCs w:val="20"/>
              </w:rPr>
            </w:pPr>
            <w:r w:rsidRPr="00113E09">
              <w:rPr>
                <w:rFonts w:ascii="Arial" w:hAnsi="Arial" w:cs="Arial"/>
                <w:sz w:val="20"/>
                <w:szCs w:val="20"/>
              </w:rPr>
              <w:t>84 FR 510558</w:t>
            </w:r>
          </w:p>
        </w:tc>
      </w:tr>
    </w:tbl>
    <w:p w14:paraId="10E36E9C" w14:textId="0F6EDD67" w:rsidR="00D07241" w:rsidRPr="00113E09" w:rsidRDefault="00D07241">
      <w:pPr>
        <w:pStyle w:val="Caption"/>
        <w:rPr>
          <w:color w:val="auto"/>
        </w:rPr>
      </w:pPr>
      <w:bookmarkStart w:id="23" w:name="_Toc17268993"/>
      <w:bookmarkStart w:id="24" w:name="_Toc10186276"/>
      <w:bookmarkStart w:id="25" w:name="_Toc16156401"/>
      <w:r w:rsidRPr="00113E09">
        <w:rPr>
          <w:color w:val="auto"/>
        </w:rPr>
        <w:t xml:space="preserve">Table IX.A.36. </w:t>
      </w:r>
      <w:r w:rsidR="00767843" w:rsidRPr="00113E09">
        <w:rPr>
          <w:color w:val="auto"/>
        </w:rPr>
        <w:fldChar w:fldCharType="begin"/>
      </w:r>
      <w:r w:rsidR="00767843" w:rsidRPr="00113E09">
        <w:rPr>
          <w:color w:val="auto"/>
        </w:rPr>
        <w:instrText xml:space="preserve"> SEQ Table_IX.A.36. \* ARABIC </w:instrText>
      </w:r>
      <w:r w:rsidR="00767843" w:rsidRPr="00113E09">
        <w:rPr>
          <w:color w:val="auto"/>
        </w:rPr>
        <w:fldChar w:fldCharType="separate"/>
      </w:r>
      <w:r w:rsidR="00767843">
        <w:rPr>
          <w:noProof/>
          <w:color w:val="auto"/>
        </w:rPr>
        <w:t>3</w:t>
      </w:r>
      <w:r w:rsidR="00767843" w:rsidRPr="00113E09">
        <w:rPr>
          <w:noProof/>
          <w:color w:val="auto"/>
        </w:rPr>
        <w:fldChar w:fldCharType="end"/>
      </w:r>
      <w:r w:rsidRPr="00113E09">
        <w:rPr>
          <w:color w:val="auto"/>
        </w:rPr>
        <w:t xml:space="preserve"> SLC, UT Serious SIP Approval Status</w:t>
      </w:r>
      <w:bookmarkEnd w:id="23"/>
    </w:p>
    <w:p w14:paraId="7FFAF5F4" w14:textId="77777777" w:rsidR="00D07241" w:rsidRPr="00113E09" w:rsidRDefault="00D07241" w:rsidP="00B35F7E">
      <w:pPr>
        <w:rPr>
          <w:rFonts w:cs="Times New Roman"/>
        </w:rPr>
      </w:pPr>
      <w:bookmarkStart w:id="26" w:name="_Hlk14339316"/>
      <w:bookmarkStart w:id="27" w:name="_Hlk15385981"/>
      <w:bookmarkEnd w:id="24"/>
      <w:bookmarkEnd w:id="25"/>
    </w:p>
    <w:p w14:paraId="28B166FB" w14:textId="28668B92" w:rsidR="00B35F7E" w:rsidRPr="00113E09" w:rsidRDefault="00B35F7E" w:rsidP="00B35F7E">
      <w:pPr>
        <w:rPr>
          <w:rFonts w:cs="Times New Roman"/>
        </w:rPr>
      </w:pPr>
      <w:r w:rsidRPr="00113E09">
        <w:rPr>
          <w:rFonts w:cs="Times New Roman"/>
        </w:rPr>
        <w:t>The SIP elements still required under the clean data policy</w:t>
      </w:r>
      <w:r w:rsidR="00C334C1" w:rsidRPr="00113E09">
        <w:rPr>
          <w:rStyle w:val="FootnoteReference"/>
          <w:rFonts w:cs="Times New Roman"/>
        </w:rPr>
        <w:footnoteReference w:id="11"/>
      </w:r>
      <w:r w:rsidR="0045328B" w:rsidRPr="00113E09">
        <w:rPr>
          <w:rFonts w:cs="Times New Roman"/>
        </w:rPr>
        <w:t xml:space="preserve"> </w:t>
      </w:r>
      <w:r w:rsidRPr="00113E09">
        <w:rPr>
          <w:rFonts w:cs="Times New Roman"/>
        </w:rPr>
        <w:t xml:space="preserve">include emission inventories, NNSR requirements, and BACM/BACT. </w:t>
      </w:r>
      <w:bookmarkEnd w:id="26"/>
      <w:r w:rsidR="002D2C73" w:rsidRPr="00113E09">
        <w:rPr>
          <w:rFonts w:cs="Times New Roman"/>
        </w:rPr>
        <w:t>The EPA approved</w:t>
      </w:r>
      <w:r w:rsidRPr="00113E09">
        <w:rPr>
          <w:rFonts w:cs="Times New Roman"/>
        </w:rPr>
        <w:t xml:space="preserve"> R307-403, Permits: New and Modified Sources in Nonattainment Areas and Maintenance Areas</w:t>
      </w:r>
      <w:r w:rsidR="002D2C73" w:rsidRPr="00113E09">
        <w:rPr>
          <w:rFonts w:cs="Times New Roman"/>
        </w:rPr>
        <w:t xml:space="preserve"> on July 25, 2019 (84 FR 35832), </w:t>
      </w:r>
      <w:r w:rsidRPr="00113E09">
        <w:rPr>
          <w:rFonts w:cs="Times New Roman"/>
        </w:rPr>
        <w:t>which cover</w:t>
      </w:r>
      <w:r w:rsidR="002D2C73" w:rsidRPr="00113E09">
        <w:rPr>
          <w:rFonts w:cs="Times New Roman"/>
        </w:rPr>
        <w:t>s</w:t>
      </w:r>
      <w:r w:rsidRPr="00113E09">
        <w:rPr>
          <w:rFonts w:cs="Times New Roman"/>
        </w:rPr>
        <w:t xml:space="preserve"> the NNSR requirement for the PM</w:t>
      </w:r>
      <w:r w:rsidRPr="00113E09">
        <w:rPr>
          <w:rFonts w:cs="Times New Roman"/>
          <w:vertAlign w:val="subscript"/>
        </w:rPr>
        <w:t>2.5</w:t>
      </w:r>
      <w:r w:rsidRPr="00113E09">
        <w:rPr>
          <w:rFonts w:cs="Times New Roman"/>
        </w:rPr>
        <w:t xml:space="preserve"> attainment plans. </w:t>
      </w:r>
      <w:r w:rsidR="00206D6B" w:rsidRPr="00113E09">
        <w:rPr>
          <w:rFonts w:cs="Times New Roman"/>
        </w:rPr>
        <w:t xml:space="preserve">The State has submitted the </w:t>
      </w:r>
      <w:r w:rsidRPr="00113E09">
        <w:rPr>
          <w:rFonts w:cs="Times New Roman"/>
        </w:rPr>
        <w:t>emission inventor</w:t>
      </w:r>
      <w:r w:rsidR="002D2C73" w:rsidRPr="00113E09">
        <w:rPr>
          <w:rFonts w:cs="Times New Roman"/>
        </w:rPr>
        <w:t>ies</w:t>
      </w:r>
      <w:r w:rsidRPr="00113E09">
        <w:rPr>
          <w:rFonts w:cs="Times New Roman"/>
        </w:rPr>
        <w:t>, and BACM/BACT elements</w:t>
      </w:r>
      <w:r w:rsidR="00206D6B" w:rsidRPr="00113E09">
        <w:rPr>
          <w:rFonts w:cs="Times New Roman"/>
        </w:rPr>
        <w:t xml:space="preserve"> to the EPA</w:t>
      </w:r>
      <w:r w:rsidRPr="00113E09">
        <w:rPr>
          <w:rFonts w:cs="Times New Roman"/>
        </w:rPr>
        <w:t xml:space="preserve">, including the R307-300 series amendments and the point source BACT emission limitation and operating practices (Utah SIP </w:t>
      </w:r>
      <w:r w:rsidR="009F4FC4" w:rsidRPr="00113E09">
        <w:rPr>
          <w:rFonts w:cs="Times New Roman"/>
        </w:rPr>
        <w:t>Section IX.H</w:t>
      </w:r>
      <w:r w:rsidRPr="00113E09">
        <w:rPr>
          <w:rFonts w:cs="Times New Roman"/>
        </w:rPr>
        <w:t>)</w:t>
      </w:r>
      <w:r w:rsidR="00206D6B" w:rsidRPr="00113E09">
        <w:rPr>
          <w:rFonts w:cs="Times New Roman"/>
        </w:rPr>
        <w:t xml:space="preserve">. </w:t>
      </w:r>
      <w:r w:rsidR="002D2C73" w:rsidRPr="00113E09">
        <w:rPr>
          <w:rFonts w:cs="Times New Roman"/>
        </w:rPr>
        <w:t>These SIP elements are still pending EPA approval.</w:t>
      </w:r>
    </w:p>
    <w:bookmarkEnd w:id="27"/>
    <w:p w14:paraId="38C87896" w14:textId="09C975B8" w:rsidR="00473C1F" w:rsidRPr="006342AC" w:rsidRDefault="00B35F7E" w:rsidP="00E875DA">
      <w:pPr>
        <w:rPr>
          <w:color w:val="E36C0A" w:themeColor="accent6" w:themeShade="BF"/>
        </w:rPr>
      </w:pPr>
      <w:r w:rsidRPr="00113E09">
        <w:rPr>
          <w:rFonts w:cs="Times New Roman"/>
        </w:rPr>
        <w:t xml:space="preserve">While many of the </w:t>
      </w:r>
      <w:r w:rsidR="00981497" w:rsidRPr="00113E09">
        <w:rPr>
          <w:rFonts w:cs="Times New Roman"/>
        </w:rPr>
        <w:t>m</w:t>
      </w:r>
      <w:r w:rsidR="00C75105" w:rsidRPr="00113E09">
        <w:rPr>
          <w:rFonts w:cs="Times New Roman"/>
        </w:rPr>
        <w:t xml:space="preserve">oderate and </w:t>
      </w:r>
      <w:r w:rsidR="00981497" w:rsidRPr="00113E09">
        <w:rPr>
          <w:rFonts w:cs="Times New Roman"/>
        </w:rPr>
        <w:t>s</w:t>
      </w:r>
      <w:r w:rsidRPr="00113E09">
        <w:rPr>
          <w:rFonts w:cs="Times New Roman"/>
        </w:rPr>
        <w:t xml:space="preserve">erious SIP elements are suspended under the clean data determination, </w:t>
      </w:r>
      <w:r w:rsidR="00AC5045" w:rsidRPr="00113E09">
        <w:rPr>
          <w:rFonts w:cs="Times New Roman"/>
        </w:rPr>
        <w:t xml:space="preserve">many of </w:t>
      </w:r>
      <w:r w:rsidRPr="00113E09">
        <w:rPr>
          <w:rFonts w:cs="Times New Roman"/>
        </w:rPr>
        <w:t xml:space="preserve">the </w:t>
      </w:r>
      <w:r w:rsidR="00981497" w:rsidRPr="00113E09">
        <w:rPr>
          <w:rFonts w:cs="Times New Roman"/>
        </w:rPr>
        <w:t>m</w:t>
      </w:r>
      <w:r w:rsidRPr="00113E09">
        <w:rPr>
          <w:rFonts w:cs="Times New Roman"/>
        </w:rPr>
        <w:t>oderate SIP elemen</w:t>
      </w:r>
      <w:r w:rsidR="00387075" w:rsidRPr="00113E09">
        <w:rPr>
          <w:rFonts w:cs="Times New Roman"/>
        </w:rPr>
        <w:t>ts have been approved</w:t>
      </w:r>
      <w:r w:rsidRPr="00113E09">
        <w:rPr>
          <w:rFonts w:cs="Times New Roman"/>
        </w:rPr>
        <w:t xml:space="preserve">. </w:t>
      </w:r>
      <w:r w:rsidR="006342AC" w:rsidRPr="00113E09">
        <w:t>As part of the Utah moderate SIPs, 24 area source rules were either introduced or augmented to control PM</w:t>
      </w:r>
      <w:r w:rsidR="006342AC" w:rsidRPr="00113E09">
        <w:rPr>
          <w:vertAlign w:val="subscript"/>
        </w:rPr>
        <w:t>2.5</w:t>
      </w:r>
      <w:r w:rsidR="006342AC" w:rsidRPr="00113E09">
        <w:t xml:space="preserve"> and PM</w:t>
      </w:r>
      <w:r w:rsidR="006342AC" w:rsidRPr="00113E09">
        <w:rPr>
          <w:vertAlign w:val="subscript"/>
        </w:rPr>
        <w:t>2.5</w:t>
      </w:r>
      <w:r w:rsidR="006342AC" w:rsidRPr="00113E09">
        <w:t xml:space="preserve"> precursors. </w:t>
      </w:r>
      <w:r w:rsidR="00473C1F" w:rsidRPr="00113E09">
        <w:t>On February 25, 2016 (81 FR 9343) and October 19, 2016 (81 FR 71988), the EPA approved area source rule revisions and</w:t>
      </w:r>
      <w:r w:rsidR="00FD65C6" w:rsidRPr="00113E09">
        <w:t xml:space="preserve"> reasonably available control measures</w:t>
      </w:r>
      <w:r w:rsidR="00473C1F" w:rsidRPr="00113E09">
        <w:t xml:space="preserve"> </w:t>
      </w:r>
      <w:r w:rsidR="00FD65C6" w:rsidRPr="00113E09">
        <w:t>(</w:t>
      </w:r>
      <w:r w:rsidR="00473C1F" w:rsidRPr="00113E09">
        <w:t>RACM</w:t>
      </w:r>
      <w:r w:rsidR="00FD65C6" w:rsidRPr="00113E09">
        <w:t>)</w:t>
      </w:r>
      <w:r w:rsidR="00473C1F" w:rsidRPr="00113E09">
        <w:t xml:space="preserve"> analyses (where appropriate) for the majority of t</w:t>
      </w:r>
      <w:r w:rsidR="001E4F7D" w:rsidRPr="00113E09">
        <w:t>he R307-300 series. See Table IX.A.</w:t>
      </w:r>
      <w:r w:rsidRPr="00113E09">
        <w:t>36</w:t>
      </w:r>
      <w:r w:rsidR="001E4F7D" w:rsidRPr="00113E09">
        <w:t>.4</w:t>
      </w:r>
      <w:r w:rsidR="00473C1F" w:rsidRPr="00113E09">
        <w:t xml:space="preserve"> for details on rules, approval dates, and implementation schedules.</w:t>
      </w:r>
      <w:r w:rsidR="006342AC" w:rsidRPr="00113E09">
        <w:t xml:space="preserve"> For the SLC NAA, the BACM analysis resulted </w:t>
      </w:r>
      <w:r w:rsidR="006342AC">
        <w:t xml:space="preserve">in revisions to 13 different area source rules which affect surface coating, graphic arts, and aerospace manufacture and rework </w:t>
      </w:r>
      <w:r w:rsidR="006342AC" w:rsidRPr="006342AC">
        <w:t>facilities.</w:t>
      </w:r>
    </w:p>
    <w:p w14:paraId="01B1917E" w14:textId="744BACE0" w:rsidR="00B35F7E" w:rsidRPr="00B35F7E" w:rsidRDefault="00B35F7E" w:rsidP="00E875DA">
      <w:pPr>
        <w:rPr>
          <w:rFonts w:cs="Times New Roman"/>
          <w:color w:val="0070C0"/>
        </w:rPr>
      </w:pPr>
    </w:p>
    <w:tbl>
      <w:tblPr>
        <w:tblStyle w:val="TableGrid1"/>
        <w:tblW w:w="8568" w:type="dxa"/>
        <w:tblBorders>
          <w:left w:val="none" w:sz="0" w:space="0" w:color="auto"/>
          <w:right w:val="none" w:sz="0" w:space="0" w:color="auto"/>
          <w:insideV w:val="none" w:sz="0" w:space="0" w:color="auto"/>
        </w:tblBorders>
        <w:tblLook w:val="04A0" w:firstRow="1" w:lastRow="0" w:firstColumn="1" w:lastColumn="0" w:noHBand="0" w:noVBand="1"/>
      </w:tblPr>
      <w:tblGrid>
        <w:gridCol w:w="4132"/>
        <w:gridCol w:w="4436"/>
      </w:tblGrid>
      <w:tr w:rsidR="003321D3" w:rsidRPr="00322725" w14:paraId="24BFB60E" w14:textId="77777777" w:rsidTr="001F7306">
        <w:trPr>
          <w:trHeight w:val="647"/>
          <w:tblHeader/>
        </w:trPr>
        <w:tc>
          <w:tcPr>
            <w:tcW w:w="4132" w:type="dxa"/>
            <w:shd w:val="clear" w:color="auto" w:fill="D9D9D9" w:themeFill="background1" w:themeFillShade="D9"/>
            <w:vAlign w:val="center"/>
          </w:tcPr>
          <w:p w14:paraId="14274D44" w14:textId="77777777" w:rsidR="003321D3" w:rsidRPr="003037CD" w:rsidRDefault="003321D3" w:rsidP="007A5BBA">
            <w:pPr>
              <w:jc w:val="center"/>
              <w:rPr>
                <w:rFonts w:ascii="Arial" w:eastAsia="Times New Roman" w:hAnsi="Arial" w:cs="Arial"/>
                <w:b/>
                <w:sz w:val="18"/>
                <w:szCs w:val="18"/>
              </w:rPr>
            </w:pPr>
            <w:r w:rsidRPr="003037CD">
              <w:rPr>
                <w:rFonts w:ascii="Arial" w:eastAsia="Times New Roman" w:hAnsi="Arial" w:cs="Arial"/>
                <w:b/>
                <w:sz w:val="18"/>
                <w:szCs w:val="18"/>
              </w:rPr>
              <w:t>EPA-Approved/Conditionally Approved Control Measures for UT Moderate PM</w:t>
            </w:r>
            <w:r w:rsidRPr="003037CD">
              <w:rPr>
                <w:rFonts w:ascii="Arial" w:eastAsia="Times New Roman" w:hAnsi="Arial" w:cs="Arial"/>
                <w:b/>
                <w:sz w:val="18"/>
                <w:szCs w:val="18"/>
                <w:vertAlign w:val="subscript"/>
              </w:rPr>
              <w:t>2.5</w:t>
            </w:r>
            <w:r w:rsidRPr="003037CD">
              <w:rPr>
                <w:rFonts w:ascii="Arial" w:eastAsia="Times New Roman" w:hAnsi="Arial" w:cs="Arial"/>
                <w:b/>
                <w:sz w:val="18"/>
                <w:szCs w:val="18"/>
              </w:rPr>
              <w:t xml:space="preserve"> SIPs</w:t>
            </w:r>
          </w:p>
        </w:tc>
        <w:tc>
          <w:tcPr>
            <w:tcW w:w="4436" w:type="dxa"/>
            <w:shd w:val="clear" w:color="auto" w:fill="D9D9D9" w:themeFill="background1" w:themeFillShade="D9"/>
            <w:vAlign w:val="center"/>
          </w:tcPr>
          <w:p w14:paraId="42CBEFEA" w14:textId="77777777" w:rsidR="003321D3" w:rsidRPr="003037CD" w:rsidRDefault="003321D3" w:rsidP="007A5BBA">
            <w:pPr>
              <w:jc w:val="center"/>
              <w:rPr>
                <w:rFonts w:ascii="Arial" w:eastAsia="Times New Roman" w:hAnsi="Arial" w:cs="Arial"/>
                <w:b/>
                <w:sz w:val="18"/>
                <w:szCs w:val="18"/>
              </w:rPr>
            </w:pPr>
            <w:r w:rsidRPr="003037CD">
              <w:rPr>
                <w:rFonts w:ascii="Arial" w:eastAsia="Times New Roman" w:hAnsi="Arial" w:cs="Arial"/>
                <w:b/>
                <w:sz w:val="18"/>
                <w:szCs w:val="18"/>
              </w:rPr>
              <w:t>Implementation Schedule</w:t>
            </w:r>
          </w:p>
        </w:tc>
      </w:tr>
      <w:tr w:rsidR="003321D3" w:rsidRPr="00322725" w14:paraId="14891D7C" w14:textId="77777777" w:rsidTr="001F7306">
        <w:trPr>
          <w:trHeight w:val="980"/>
        </w:trPr>
        <w:tc>
          <w:tcPr>
            <w:tcW w:w="4132" w:type="dxa"/>
            <w:vAlign w:val="center"/>
          </w:tcPr>
          <w:p w14:paraId="69B80CF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R307-302 Solid Fuel Burning Devices </w:t>
            </w:r>
            <w:r w:rsidRPr="003037CD">
              <w:rPr>
                <w:rFonts w:ascii="Arial" w:eastAsia="Times New Roman" w:hAnsi="Arial" w:cs="Arial"/>
                <w:sz w:val="18"/>
                <w:szCs w:val="18"/>
                <w:vertAlign w:val="superscript"/>
              </w:rPr>
              <w:t>1</w:t>
            </w:r>
          </w:p>
          <w:p w14:paraId="54D5CC9F" w14:textId="05586EB8"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conditionally approved</w:t>
            </w:r>
            <w:r w:rsidR="001E467E">
              <w:rPr>
                <w:rFonts w:ascii="Arial" w:eastAsia="Times New Roman" w:hAnsi="Arial" w:cs="Arial"/>
                <w:sz w:val="18"/>
                <w:szCs w:val="18"/>
              </w:rPr>
              <w:t>*</w:t>
            </w:r>
            <w:r w:rsidRPr="003037CD">
              <w:rPr>
                <w:rFonts w:ascii="Arial" w:eastAsia="Times New Roman" w:hAnsi="Arial" w:cs="Arial"/>
                <w:sz w:val="18"/>
                <w:szCs w:val="18"/>
              </w:rPr>
              <w:t xml:space="preserve"> October 19, 2016 (81 FR 71988).</w:t>
            </w:r>
          </w:p>
        </w:tc>
        <w:tc>
          <w:tcPr>
            <w:tcW w:w="4436" w:type="dxa"/>
            <w:vAlign w:val="center"/>
          </w:tcPr>
          <w:p w14:paraId="2917E3C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February 1, 2017</w:t>
            </w:r>
          </w:p>
        </w:tc>
      </w:tr>
      <w:tr w:rsidR="003321D3" w:rsidRPr="00322725" w14:paraId="31853815" w14:textId="77777777" w:rsidTr="001F7306">
        <w:trPr>
          <w:trHeight w:val="728"/>
        </w:trPr>
        <w:tc>
          <w:tcPr>
            <w:tcW w:w="4132" w:type="dxa"/>
            <w:vAlign w:val="center"/>
          </w:tcPr>
          <w:p w14:paraId="6B3CE4A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R307-303 Commercial Cooking </w:t>
            </w:r>
            <w:r w:rsidRPr="003037CD">
              <w:rPr>
                <w:rFonts w:ascii="Arial" w:eastAsia="Times New Roman" w:hAnsi="Arial" w:cs="Arial"/>
                <w:sz w:val="18"/>
                <w:szCs w:val="18"/>
                <w:vertAlign w:val="superscript"/>
              </w:rPr>
              <w:t>1</w:t>
            </w:r>
          </w:p>
          <w:p w14:paraId="1A1BD26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3862774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December 15, 2015</w:t>
            </w:r>
          </w:p>
          <w:p w14:paraId="3486C6CB" w14:textId="77777777" w:rsidR="003321D3" w:rsidRPr="003037CD" w:rsidRDefault="003321D3" w:rsidP="007A5BBA">
            <w:pPr>
              <w:rPr>
                <w:rFonts w:ascii="Arial" w:eastAsia="Times New Roman" w:hAnsi="Arial" w:cs="Arial"/>
                <w:sz w:val="18"/>
                <w:szCs w:val="18"/>
              </w:rPr>
            </w:pPr>
          </w:p>
        </w:tc>
      </w:tr>
      <w:tr w:rsidR="003321D3" w:rsidRPr="00322725" w14:paraId="309939B2" w14:textId="77777777" w:rsidTr="001F7306">
        <w:trPr>
          <w:trHeight w:val="458"/>
        </w:trPr>
        <w:tc>
          <w:tcPr>
            <w:tcW w:w="4132" w:type="dxa"/>
            <w:vAlign w:val="center"/>
          </w:tcPr>
          <w:p w14:paraId="5EC54B6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lastRenderedPageBreak/>
              <w:t>R307-304 Solvent Cleaning</w:t>
            </w:r>
            <w:r w:rsidRPr="003037CD">
              <w:rPr>
                <w:rFonts w:ascii="Arial" w:eastAsia="Times New Roman" w:hAnsi="Arial" w:cs="Arial"/>
                <w:sz w:val="18"/>
                <w:szCs w:val="18"/>
                <w:vertAlign w:val="superscript"/>
              </w:rPr>
              <w:t xml:space="preserve"> 1</w:t>
            </w:r>
          </w:p>
        </w:tc>
        <w:tc>
          <w:tcPr>
            <w:tcW w:w="4436" w:type="dxa"/>
            <w:vAlign w:val="center"/>
          </w:tcPr>
          <w:p w14:paraId="51EA9D1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December 6, 2017</w:t>
            </w:r>
          </w:p>
        </w:tc>
      </w:tr>
      <w:tr w:rsidR="003321D3" w:rsidRPr="00322725" w14:paraId="6D754599" w14:textId="77777777" w:rsidTr="001F7306">
        <w:trPr>
          <w:trHeight w:val="1358"/>
        </w:trPr>
        <w:tc>
          <w:tcPr>
            <w:tcW w:w="4132" w:type="dxa"/>
            <w:vAlign w:val="center"/>
          </w:tcPr>
          <w:p w14:paraId="0147404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R307-307 Road Salting and Sanding</w:t>
            </w:r>
          </w:p>
          <w:p w14:paraId="257A8D4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6989FB29" w14:textId="77777777" w:rsidR="003321D3" w:rsidRPr="003037CD" w:rsidRDefault="00100E82" w:rsidP="007A5BBA">
            <w:pPr>
              <w:rPr>
                <w:rFonts w:ascii="Arial" w:eastAsia="Times New Roman" w:hAnsi="Arial" w:cs="Arial"/>
                <w:sz w:val="18"/>
                <w:szCs w:val="18"/>
              </w:rPr>
            </w:pPr>
            <w:r w:rsidRPr="00100E82">
              <w:rPr>
                <w:rFonts w:ascii="Arial" w:eastAsia="Times New Roman" w:hAnsi="Arial" w:cs="Arial"/>
                <w:sz w:val="18"/>
                <w:szCs w:val="18"/>
              </w:rPr>
              <w:t>January 1, 2014</w:t>
            </w:r>
          </w:p>
        </w:tc>
      </w:tr>
      <w:tr w:rsidR="003321D3" w:rsidRPr="00322725" w14:paraId="6DECBB92" w14:textId="77777777" w:rsidTr="001F7306">
        <w:trPr>
          <w:trHeight w:val="1358"/>
        </w:trPr>
        <w:tc>
          <w:tcPr>
            <w:tcW w:w="4132" w:type="dxa"/>
            <w:vAlign w:val="center"/>
          </w:tcPr>
          <w:p w14:paraId="46FBDDB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R307-309 Nonattainment and Maintenance Areas for PM</w:t>
            </w:r>
            <w:r w:rsidRPr="003037CD">
              <w:rPr>
                <w:rFonts w:ascii="Arial" w:eastAsia="Times New Roman" w:hAnsi="Arial" w:cs="Arial"/>
                <w:sz w:val="18"/>
                <w:szCs w:val="18"/>
                <w:vertAlign w:val="subscript"/>
              </w:rPr>
              <w:t>10</w:t>
            </w:r>
            <w:r w:rsidRPr="003037CD">
              <w:rPr>
                <w:rFonts w:ascii="Arial" w:eastAsia="Times New Roman" w:hAnsi="Arial" w:cs="Arial"/>
                <w:sz w:val="18"/>
                <w:szCs w:val="18"/>
              </w:rPr>
              <w:t xml:space="preserve"> and PM</w:t>
            </w:r>
            <w:r w:rsidRPr="003037CD">
              <w:rPr>
                <w:rFonts w:ascii="Arial" w:eastAsia="Times New Roman" w:hAnsi="Arial" w:cs="Arial"/>
                <w:sz w:val="18"/>
                <w:szCs w:val="18"/>
                <w:vertAlign w:val="subscript"/>
              </w:rPr>
              <w:t>2.5</w:t>
            </w:r>
            <w:r w:rsidRPr="003037CD">
              <w:rPr>
                <w:rFonts w:ascii="Arial" w:eastAsia="Times New Roman" w:hAnsi="Arial" w:cs="Arial"/>
                <w:sz w:val="18"/>
                <w:szCs w:val="18"/>
              </w:rPr>
              <w:t xml:space="preserve">: Fugitive Emissions and Fugitive Dust </w:t>
            </w:r>
            <w:r w:rsidRPr="003037CD">
              <w:rPr>
                <w:rFonts w:ascii="Arial" w:eastAsia="Times New Roman" w:hAnsi="Arial" w:cs="Arial"/>
                <w:sz w:val="18"/>
                <w:szCs w:val="18"/>
                <w:vertAlign w:val="superscript"/>
              </w:rPr>
              <w:t>1</w:t>
            </w:r>
          </w:p>
          <w:p w14:paraId="47768FE0" w14:textId="77777777" w:rsidR="003321D3" w:rsidRPr="003037CD" w:rsidRDefault="00947721" w:rsidP="00947721">
            <w:pPr>
              <w:rPr>
                <w:rFonts w:ascii="Arial" w:eastAsia="Times New Roman" w:hAnsi="Arial" w:cs="Arial"/>
                <w:sz w:val="18"/>
                <w:szCs w:val="18"/>
              </w:rPr>
            </w:pPr>
            <w:r w:rsidRPr="003037CD">
              <w:rPr>
                <w:rFonts w:ascii="Arial" w:eastAsia="Times New Roman" w:hAnsi="Arial" w:cs="Arial"/>
                <w:sz w:val="18"/>
                <w:szCs w:val="18"/>
              </w:rPr>
              <w:t>EPA proposed for approval September 14, 2017 (82 FR 43205</w:t>
            </w:r>
            <w:r w:rsidR="003321D3" w:rsidRPr="003037CD">
              <w:rPr>
                <w:rFonts w:ascii="Arial" w:eastAsia="Times New Roman" w:hAnsi="Arial" w:cs="Arial"/>
                <w:sz w:val="18"/>
                <w:szCs w:val="18"/>
              </w:rPr>
              <w:t>).</w:t>
            </w:r>
          </w:p>
        </w:tc>
        <w:tc>
          <w:tcPr>
            <w:tcW w:w="4436" w:type="dxa"/>
            <w:vAlign w:val="center"/>
          </w:tcPr>
          <w:p w14:paraId="2A7A53A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Salt Lake County, Utah County, and the City of Ogden – January 1, 2013.</w:t>
            </w:r>
          </w:p>
          <w:p w14:paraId="31E7E7E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Remaining NAAs – April 1, 2013.</w:t>
            </w:r>
          </w:p>
          <w:p w14:paraId="28B7CE7A" w14:textId="77777777" w:rsidR="003321D3" w:rsidRPr="003037CD" w:rsidRDefault="003321D3" w:rsidP="007A5BBA">
            <w:pPr>
              <w:rPr>
                <w:rFonts w:ascii="Arial" w:eastAsia="Times New Roman" w:hAnsi="Arial" w:cs="Arial"/>
                <w:sz w:val="18"/>
                <w:szCs w:val="18"/>
              </w:rPr>
            </w:pPr>
          </w:p>
          <w:p w14:paraId="2E78DE1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August 4, 2017</w:t>
            </w:r>
          </w:p>
        </w:tc>
      </w:tr>
      <w:tr w:rsidR="003321D3" w:rsidRPr="00322725" w14:paraId="51B94569" w14:textId="77777777" w:rsidTr="001F7306">
        <w:trPr>
          <w:trHeight w:val="1088"/>
        </w:trPr>
        <w:tc>
          <w:tcPr>
            <w:tcW w:w="4132" w:type="dxa"/>
            <w:vAlign w:val="center"/>
          </w:tcPr>
          <w:p w14:paraId="2DE4B81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R307-312 Aggregate Processing Operations for PM</w:t>
            </w:r>
            <w:r w:rsidRPr="003037CD">
              <w:rPr>
                <w:rFonts w:ascii="Arial" w:eastAsia="Times New Roman" w:hAnsi="Arial" w:cs="Arial"/>
                <w:sz w:val="18"/>
                <w:szCs w:val="18"/>
                <w:vertAlign w:val="subscript"/>
              </w:rPr>
              <w:t>2.5</w:t>
            </w:r>
            <w:r w:rsidRPr="003037CD">
              <w:rPr>
                <w:rFonts w:ascii="Arial" w:eastAsia="Times New Roman" w:hAnsi="Arial" w:cs="Arial"/>
                <w:sz w:val="18"/>
                <w:szCs w:val="18"/>
              </w:rPr>
              <w:t xml:space="preserve"> Nonattainment Areas.</w:t>
            </w:r>
          </w:p>
          <w:p w14:paraId="3A7815E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October 19, 2016 (81 FR 71988).</w:t>
            </w:r>
          </w:p>
        </w:tc>
        <w:tc>
          <w:tcPr>
            <w:tcW w:w="4436" w:type="dxa"/>
            <w:vAlign w:val="center"/>
          </w:tcPr>
          <w:p w14:paraId="2BED82A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February 4, 2016</w:t>
            </w:r>
          </w:p>
        </w:tc>
      </w:tr>
      <w:tr w:rsidR="003321D3" w:rsidRPr="00322725" w14:paraId="279C3729" w14:textId="77777777" w:rsidTr="001F7306">
        <w:trPr>
          <w:trHeight w:val="2762"/>
        </w:trPr>
        <w:tc>
          <w:tcPr>
            <w:tcW w:w="4132" w:type="dxa"/>
            <w:vAlign w:val="center"/>
          </w:tcPr>
          <w:p w14:paraId="4BA8AEB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R307-335 Degreasing and Solvent Cleaning Operations </w:t>
            </w:r>
            <w:r w:rsidRPr="003037CD">
              <w:rPr>
                <w:rFonts w:ascii="Arial" w:eastAsia="Times New Roman" w:hAnsi="Arial" w:cs="Arial"/>
                <w:sz w:val="18"/>
                <w:szCs w:val="18"/>
                <w:vertAlign w:val="superscript"/>
              </w:rPr>
              <w:t>1</w:t>
            </w:r>
          </w:p>
          <w:p w14:paraId="2142F5E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0E04F7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All sources within Salt Lake and Davis Counties R307-335-3 through R307-335-6 – January 1, 2013.</w:t>
            </w:r>
          </w:p>
          <w:p w14:paraId="5855A36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All other sources defined in R307-335-2 – September 1, 2013.</w:t>
            </w:r>
          </w:p>
          <w:p w14:paraId="686AAD7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All sources within Box Elder, Cache, Utah, Weber, and Tooele Counties R307-335-7 – August 1, 2014</w:t>
            </w:r>
          </w:p>
          <w:p w14:paraId="5F8C87AA" w14:textId="77777777" w:rsidR="003321D3" w:rsidRPr="003037CD" w:rsidRDefault="003321D3" w:rsidP="007A5BBA">
            <w:pPr>
              <w:rPr>
                <w:rFonts w:ascii="Arial" w:eastAsia="Times New Roman" w:hAnsi="Arial" w:cs="Arial"/>
                <w:sz w:val="18"/>
                <w:szCs w:val="18"/>
              </w:rPr>
            </w:pPr>
          </w:p>
          <w:p w14:paraId="2D3D66C4" w14:textId="10B5C932"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October 29, 2017</w:t>
            </w:r>
            <w:r w:rsidR="003E4B3B">
              <w:rPr>
                <w:rFonts w:ascii="Arial" w:eastAsia="Times New Roman" w:hAnsi="Arial" w:cs="Arial"/>
                <w:sz w:val="18"/>
                <w:szCs w:val="18"/>
              </w:rPr>
              <w:t>,</w:t>
            </w:r>
            <w:r w:rsidRPr="003037CD">
              <w:rPr>
                <w:rFonts w:ascii="Arial" w:eastAsia="Times New Roman" w:hAnsi="Arial" w:cs="Arial"/>
                <w:sz w:val="18"/>
                <w:szCs w:val="18"/>
              </w:rPr>
              <w:t xml:space="preserve"> by removing sections 6 &amp; 7 to for rule R307-304</w:t>
            </w:r>
          </w:p>
        </w:tc>
      </w:tr>
      <w:tr w:rsidR="003321D3" w:rsidRPr="00322725" w14:paraId="492D6173" w14:textId="77777777" w:rsidTr="001F7306">
        <w:trPr>
          <w:trHeight w:val="827"/>
        </w:trPr>
        <w:tc>
          <w:tcPr>
            <w:tcW w:w="4132" w:type="dxa"/>
            <w:vAlign w:val="center"/>
          </w:tcPr>
          <w:p w14:paraId="2EFCDE1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R307-342 Adhesives &amp; Sealants </w:t>
            </w:r>
            <w:r w:rsidRPr="003037CD">
              <w:rPr>
                <w:rFonts w:ascii="Arial" w:eastAsia="Times New Roman" w:hAnsi="Arial" w:cs="Arial"/>
                <w:sz w:val="18"/>
                <w:szCs w:val="18"/>
                <w:vertAlign w:val="superscript"/>
              </w:rPr>
              <w:t>1</w:t>
            </w:r>
          </w:p>
          <w:p w14:paraId="35E0C2B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0A99CBD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December 1, 2014</w:t>
            </w:r>
          </w:p>
        </w:tc>
      </w:tr>
      <w:tr w:rsidR="003321D3" w:rsidRPr="00322725" w14:paraId="74B0B90C" w14:textId="77777777" w:rsidTr="001F7306">
        <w:trPr>
          <w:trHeight w:val="1592"/>
        </w:trPr>
        <w:tc>
          <w:tcPr>
            <w:tcW w:w="4132" w:type="dxa"/>
            <w:vAlign w:val="center"/>
          </w:tcPr>
          <w:p w14:paraId="6D00660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R307-343 Emissions Standards for Wood Furniture Manufacturing Operations </w:t>
            </w:r>
            <w:r w:rsidRPr="003037CD">
              <w:rPr>
                <w:rFonts w:ascii="Arial" w:eastAsia="Times New Roman" w:hAnsi="Arial" w:cs="Arial"/>
                <w:sz w:val="18"/>
                <w:szCs w:val="18"/>
                <w:vertAlign w:val="superscript"/>
              </w:rPr>
              <w:t>1</w:t>
            </w:r>
          </w:p>
          <w:p w14:paraId="4356C79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733332A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September 1, 2013.</w:t>
            </w:r>
          </w:p>
          <w:p w14:paraId="0E2C4D1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5495A226" w14:textId="77777777" w:rsidR="003321D3" w:rsidRPr="003037CD" w:rsidRDefault="003321D3" w:rsidP="007A5BBA">
            <w:pPr>
              <w:rPr>
                <w:rFonts w:ascii="Arial" w:eastAsia="Times New Roman" w:hAnsi="Arial" w:cs="Arial"/>
                <w:sz w:val="18"/>
                <w:szCs w:val="18"/>
              </w:rPr>
            </w:pPr>
          </w:p>
          <w:p w14:paraId="0B7A7A4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68EFC398" w14:textId="77777777" w:rsidTr="001F7306">
        <w:trPr>
          <w:trHeight w:val="1637"/>
        </w:trPr>
        <w:tc>
          <w:tcPr>
            <w:tcW w:w="4132" w:type="dxa"/>
            <w:vAlign w:val="center"/>
          </w:tcPr>
          <w:p w14:paraId="3AB7EC5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R307-344 Paper, Film &amp; Foil Coatings </w:t>
            </w:r>
            <w:r w:rsidRPr="003037CD">
              <w:rPr>
                <w:rFonts w:ascii="Arial" w:eastAsia="Times New Roman" w:hAnsi="Arial" w:cs="Arial"/>
                <w:sz w:val="18"/>
                <w:szCs w:val="18"/>
                <w:vertAlign w:val="superscript"/>
              </w:rPr>
              <w:t>1</w:t>
            </w:r>
          </w:p>
          <w:p w14:paraId="3CF3479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5C0E07E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21511A0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3F606FD6" w14:textId="77777777" w:rsidR="003321D3" w:rsidRPr="003037CD" w:rsidRDefault="003321D3" w:rsidP="007A5BBA">
            <w:pPr>
              <w:rPr>
                <w:rFonts w:ascii="Arial" w:eastAsia="Times New Roman" w:hAnsi="Arial" w:cs="Arial"/>
                <w:sz w:val="18"/>
                <w:szCs w:val="18"/>
              </w:rPr>
            </w:pPr>
          </w:p>
          <w:p w14:paraId="71AF30C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0A402DCB" w14:textId="77777777" w:rsidTr="001F7306">
        <w:trPr>
          <w:trHeight w:val="1700"/>
        </w:trPr>
        <w:tc>
          <w:tcPr>
            <w:tcW w:w="4132" w:type="dxa"/>
            <w:vAlign w:val="center"/>
          </w:tcPr>
          <w:p w14:paraId="512F952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lastRenderedPageBreak/>
              <w:t xml:space="preserve">R307-345 Fabric &amp; Vinyl Coatings </w:t>
            </w:r>
            <w:r w:rsidRPr="003037CD">
              <w:rPr>
                <w:rFonts w:ascii="Arial" w:eastAsia="Times New Roman" w:hAnsi="Arial" w:cs="Arial"/>
                <w:sz w:val="18"/>
                <w:szCs w:val="18"/>
                <w:vertAlign w:val="superscript"/>
              </w:rPr>
              <w:t>1</w:t>
            </w:r>
          </w:p>
          <w:p w14:paraId="2978F6F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0A6613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29ECDA9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2011.</w:t>
            </w:r>
          </w:p>
          <w:p w14:paraId="7E89C71C" w14:textId="77777777" w:rsidR="003321D3" w:rsidRPr="003037CD" w:rsidRDefault="003321D3" w:rsidP="007A5BBA">
            <w:pPr>
              <w:rPr>
                <w:rFonts w:ascii="Arial" w:eastAsia="Times New Roman" w:hAnsi="Arial" w:cs="Arial"/>
                <w:sz w:val="18"/>
                <w:szCs w:val="18"/>
              </w:rPr>
            </w:pPr>
          </w:p>
          <w:p w14:paraId="06A8869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3732CAAC" w14:textId="77777777" w:rsidTr="001F7306">
        <w:trPr>
          <w:trHeight w:val="1682"/>
        </w:trPr>
        <w:tc>
          <w:tcPr>
            <w:tcW w:w="4132" w:type="dxa"/>
            <w:vAlign w:val="center"/>
          </w:tcPr>
          <w:p w14:paraId="5B297D8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R307-346 Metal Furniture Surface Coatings </w:t>
            </w:r>
            <w:r w:rsidRPr="003037CD">
              <w:rPr>
                <w:rFonts w:ascii="Arial" w:eastAsia="Times New Roman" w:hAnsi="Arial" w:cs="Arial"/>
                <w:sz w:val="18"/>
                <w:szCs w:val="18"/>
                <w:vertAlign w:val="superscript"/>
              </w:rPr>
              <w:t>2</w:t>
            </w:r>
          </w:p>
          <w:p w14:paraId="61C20B3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6C3464D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310E5B1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0ECA1F83" w14:textId="77777777" w:rsidR="003321D3" w:rsidRPr="003037CD" w:rsidRDefault="003321D3" w:rsidP="007A5BBA">
            <w:pPr>
              <w:rPr>
                <w:rFonts w:ascii="Arial" w:eastAsia="Times New Roman" w:hAnsi="Arial" w:cs="Arial"/>
                <w:sz w:val="18"/>
                <w:szCs w:val="18"/>
              </w:rPr>
            </w:pPr>
          </w:p>
          <w:p w14:paraId="7B278C0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3C5DCD9A" w14:textId="77777777" w:rsidTr="001F7306">
        <w:trPr>
          <w:trHeight w:val="1619"/>
        </w:trPr>
        <w:tc>
          <w:tcPr>
            <w:tcW w:w="4132" w:type="dxa"/>
            <w:vAlign w:val="center"/>
          </w:tcPr>
          <w:p w14:paraId="3295E6E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R307-347 Large Appliance Surface Coatings </w:t>
            </w:r>
            <w:r w:rsidRPr="003037CD">
              <w:rPr>
                <w:rFonts w:ascii="Arial" w:eastAsia="Times New Roman" w:hAnsi="Arial" w:cs="Arial"/>
                <w:sz w:val="18"/>
                <w:szCs w:val="18"/>
                <w:vertAlign w:val="superscript"/>
              </w:rPr>
              <w:t>2</w:t>
            </w:r>
            <w:r w:rsidRPr="003037CD">
              <w:rPr>
                <w:rFonts w:ascii="Arial" w:eastAsia="Times New Roman" w:hAnsi="Arial" w:cs="Arial"/>
                <w:sz w:val="18"/>
                <w:szCs w:val="18"/>
              </w:rPr>
              <w:t xml:space="preserve"> </w:t>
            </w:r>
          </w:p>
          <w:p w14:paraId="3BC7EB2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7F95430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1C3A750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09A7B090" w14:textId="77777777" w:rsidR="003321D3" w:rsidRPr="003037CD" w:rsidRDefault="003321D3" w:rsidP="007A5BBA">
            <w:pPr>
              <w:rPr>
                <w:rFonts w:ascii="Arial" w:eastAsia="Times New Roman" w:hAnsi="Arial" w:cs="Arial"/>
                <w:sz w:val="18"/>
                <w:szCs w:val="18"/>
              </w:rPr>
            </w:pPr>
          </w:p>
          <w:p w14:paraId="012D27D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2D9A1436" w14:textId="77777777" w:rsidTr="001F7306">
        <w:trPr>
          <w:trHeight w:val="1709"/>
        </w:trPr>
        <w:tc>
          <w:tcPr>
            <w:tcW w:w="4132" w:type="dxa"/>
            <w:vAlign w:val="center"/>
          </w:tcPr>
          <w:p w14:paraId="75A561C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R307-348 Magnet Wire Coatings</w:t>
            </w:r>
            <w:r w:rsidRPr="003037CD">
              <w:rPr>
                <w:rFonts w:ascii="Arial" w:eastAsia="Times New Roman" w:hAnsi="Arial" w:cs="Arial"/>
                <w:sz w:val="18"/>
                <w:szCs w:val="18"/>
                <w:vertAlign w:val="superscript"/>
              </w:rPr>
              <w:t xml:space="preserve"> 2</w:t>
            </w:r>
          </w:p>
          <w:p w14:paraId="64A472D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13D5BB3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097C913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0ADBA919" w14:textId="77777777" w:rsidR="003321D3" w:rsidRPr="003037CD" w:rsidRDefault="003321D3" w:rsidP="007A5BBA">
            <w:pPr>
              <w:rPr>
                <w:rFonts w:ascii="Arial" w:eastAsia="Times New Roman" w:hAnsi="Arial" w:cs="Arial"/>
                <w:sz w:val="18"/>
                <w:szCs w:val="18"/>
              </w:rPr>
            </w:pPr>
          </w:p>
          <w:p w14:paraId="27F2EDD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7922A5B2" w14:textId="77777777" w:rsidTr="001F7306">
        <w:trPr>
          <w:trHeight w:val="1745"/>
        </w:trPr>
        <w:tc>
          <w:tcPr>
            <w:tcW w:w="4132" w:type="dxa"/>
            <w:vAlign w:val="center"/>
          </w:tcPr>
          <w:p w14:paraId="0B0638A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R307-349 Flat Wood Panel Coatings </w:t>
            </w:r>
            <w:r w:rsidRPr="003037CD">
              <w:rPr>
                <w:rFonts w:ascii="Arial" w:eastAsia="Times New Roman" w:hAnsi="Arial" w:cs="Arial"/>
                <w:sz w:val="18"/>
                <w:szCs w:val="18"/>
                <w:vertAlign w:val="superscript"/>
              </w:rPr>
              <w:t>1</w:t>
            </w:r>
          </w:p>
          <w:p w14:paraId="08B9359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444AB00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0050279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1E0C3316" w14:textId="77777777" w:rsidR="003321D3" w:rsidRPr="003037CD" w:rsidRDefault="003321D3" w:rsidP="007A5BBA">
            <w:pPr>
              <w:rPr>
                <w:rFonts w:ascii="Arial" w:eastAsia="Times New Roman" w:hAnsi="Arial" w:cs="Arial"/>
                <w:sz w:val="18"/>
                <w:szCs w:val="18"/>
              </w:rPr>
            </w:pPr>
          </w:p>
          <w:p w14:paraId="55109B4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2FA615D5" w14:textId="77777777" w:rsidTr="001F7306">
        <w:trPr>
          <w:trHeight w:val="1700"/>
        </w:trPr>
        <w:tc>
          <w:tcPr>
            <w:tcW w:w="4132" w:type="dxa"/>
            <w:vAlign w:val="center"/>
          </w:tcPr>
          <w:p w14:paraId="413B9DD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R307-350 Miscellaneous Metal Parts and Products Coatings </w:t>
            </w:r>
            <w:r w:rsidRPr="003037CD">
              <w:rPr>
                <w:rFonts w:ascii="Arial" w:eastAsia="Times New Roman" w:hAnsi="Arial" w:cs="Arial"/>
                <w:sz w:val="18"/>
                <w:szCs w:val="18"/>
                <w:vertAlign w:val="superscript"/>
              </w:rPr>
              <w:t>1</w:t>
            </w:r>
          </w:p>
          <w:p w14:paraId="27241F6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FD5460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September 1, 2013.</w:t>
            </w:r>
          </w:p>
          <w:p w14:paraId="23ED2AD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5C90D324" w14:textId="77777777" w:rsidR="003321D3" w:rsidRPr="003037CD" w:rsidRDefault="003321D3" w:rsidP="007A5BBA">
            <w:pPr>
              <w:rPr>
                <w:rFonts w:ascii="Arial" w:eastAsia="Times New Roman" w:hAnsi="Arial" w:cs="Arial"/>
                <w:sz w:val="18"/>
                <w:szCs w:val="18"/>
              </w:rPr>
            </w:pPr>
          </w:p>
          <w:p w14:paraId="3B00FAE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54E7FC9C" w14:textId="77777777" w:rsidTr="001F7306">
        <w:trPr>
          <w:trHeight w:val="1646"/>
        </w:trPr>
        <w:tc>
          <w:tcPr>
            <w:tcW w:w="4132" w:type="dxa"/>
            <w:vAlign w:val="center"/>
          </w:tcPr>
          <w:p w14:paraId="11A062C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R307-351 Graphic Arts</w:t>
            </w:r>
            <w:r w:rsidRPr="003037CD">
              <w:rPr>
                <w:rFonts w:ascii="Arial" w:eastAsia="Times New Roman" w:hAnsi="Arial" w:cs="Arial"/>
                <w:sz w:val="18"/>
                <w:szCs w:val="18"/>
                <w:vertAlign w:val="superscript"/>
              </w:rPr>
              <w:t xml:space="preserve"> 1</w:t>
            </w:r>
          </w:p>
          <w:p w14:paraId="50FA09F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35D1FE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469C915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7F819770" w14:textId="77777777" w:rsidR="003321D3" w:rsidRPr="003037CD" w:rsidRDefault="003321D3" w:rsidP="007A5BBA">
            <w:pPr>
              <w:rPr>
                <w:rFonts w:ascii="Arial" w:eastAsia="Times New Roman" w:hAnsi="Arial" w:cs="Arial"/>
                <w:sz w:val="18"/>
                <w:szCs w:val="18"/>
              </w:rPr>
            </w:pPr>
          </w:p>
          <w:p w14:paraId="299BB12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271E8A80" w14:textId="77777777" w:rsidTr="001F7306">
        <w:trPr>
          <w:trHeight w:val="1061"/>
        </w:trPr>
        <w:tc>
          <w:tcPr>
            <w:tcW w:w="4132" w:type="dxa"/>
            <w:vAlign w:val="center"/>
          </w:tcPr>
          <w:p w14:paraId="62D2C58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lastRenderedPageBreak/>
              <w:t xml:space="preserve">R307-352 Metal Containers, Closure, and Coil Coatings </w:t>
            </w:r>
            <w:r w:rsidRPr="003037CD">
              <w:rPr>
                <w:rFonts w:ascii="Arial" w:eastAsia="Times New Roman" w:hAnsi="Arial" w:cs="Arial"/>
                <w:sz w:val="18"/>
                <w:szCs w:val="18"/>
                <w:vertAlign w:val="superscript"/>
              </w:rPr>
              <w:t>2</w:t>
            </w:r>
          </w:p>
          <w:p w14:paraId="4AF102F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1B0AC02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067A6187" w14:textId="77777777" w:rsidR="003321D3" w:rsidRPr="003037CD" w:rsidRDefault="003321D3" w:rsidP="007A5BBA">
            <w:pPr>
              <w:rPr>
                <w:rFonts w:ascii="Arial" w:eastAsia="Times New Roman" w:hAnsi="Arial" w:cs="Arial"/>
                <w:sz w:val="18"/>
                <w:szCs w:val="18"/>
              </w:rPr>
            </w:pPr>
          </w:p>
          <w:p w14:paraId="1FFC24D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1EA77FF2" w14:textId="77777777" w:rsidTr="001F7306">
        <w:trPr>
          <w:trHeight w:val="1007"/>
        </w:trPr>
        <w:tc>
          <w:tcPr>
            <w:tcW w:w="4132" w:type="dxa"/>
            <w:vAlign w:val="center"/>
          </w:tcPr>
          <w:p w14:paraId="59B4190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R307-353 Plastic Parts Coatings </w:t>
            </w:r>
            <w:r w:rsidRPr="003037CD">
              <w:rPr>
                <w:rFonts w:ascii="Arial" w:eastAsia="Times New Roman" w:hAnsi="Arial" w:cs="Arial"/>
                <w:sz w:val="18"/>
                <w:szCs w:val="18"/>
                <w:vertAlign w:val="superscript"/>
              </w:rPr>
              <w:t>1</w:t>
            </w:r>
          </w:p>
          <w:p w14:paraId="6D311B2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0FEB797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579EA89C" w14:textId="77777777" w:rsidR="003321D3" w:rsidRPr="003037CD" w:rsidRDefault="003321D3" w:rsidP="007A5BBA">
            <w:pPr>
              <w:rPr>
                <w:rFonts w:ascii="Arial" w:eastAsia="Times New Roman" w:hAnsi="Arial" w:cs="Arial"/>
                <w:sz w:val="18"/>
                <w:szCs w:val="18"/>
              </w:rPr>
            </w:pPr>
          </w:p>
          <w:p w14:paraId="7CB74A3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5AB3E523" w14:textId="77777777" w:rsidTr="001F7306">
        <w:trPr>
          <w:trHeight w:val="917"/>
        </w:trPr>
        <w:tc>
          <w:tcPr>
            <w:tcW w:w="4132" w:type="dxa"/>
            <w:vAlign w:val="center"/>
          </w:tcPr>
          <w:p w14:paraId="1AE4178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R307-354 Automotive Refinishing Coatings </w:t>
            </w:r>
            <w:r w:rsidRPr="003037CD">
              <w:rPr>
                <w:rFonts w:ascii="Arial" w:eastAsia="Times New Roman" w:hAnsi="Arial" w:cs="Arial"/>
                <w:sz w:val="18"/>
                <w:szCs w:val="18"/>
                <w:vertAlign w:val="superscript"/>
              </w:rPr>
              <w:t>1</w:t>
            </w:r>
          </w:p>
          <w:p w14:paraId="3B6804E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091618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0457F7DA" w14:textId="77777777" w:rsidR="003321D3" w:rsidRPr="003037CD" w:rsidRDefault="003321D3" w:rsidP="007A5BBA">
            <w:pPr>
              <w:rPr>
                <w:rFonts w:ascii="Arial" w:eastAsia="Times New Roman" w:hAnsi="Arial" w:cs="Arial"/>
                <w:sz w:val="18"/>
                <w:szCs w:val="18"/>
              </w:rPr>
            </w:pPr>
          </w:p>
          <w:p w14:paraId="3DCC1E5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77663DBF" w14:textId="77777777" w:rsidTr="001F7306">
        <w:trPr>
          <w:trHeight w:val="1043"/>
        </w:trPr>
        <w:tc>
          <w:tcPr>
            <w:tcW w:w="4132" w:type="dxa"/>
            <w:vAlign w:val="center"/>
          </w:tcPr>
          <w:p w14:paraId="426A562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R307-355 Control of Emissions from Aerospace Manufacture and Rework Facilities</w:t>
            </w:r>
            <w:r w:rsidRPr="003037CD">
              <w:rPr>
                <w:rFonts w:ascii="Arial" w:eastAsia="Times New Roman" w:hAnsi="Arial" w:cs="Arial"/>
                <w:sz w:val="18"/>
                <w:szCs w:val="18"/>
                <w:vertAlign w:val="superscript"/>
              </w:rPr>
              <w:t xml:space="preserve"> 1</w:t>
            </w:r>
          </w:p>
          <w:p w14:paraId="0477888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78BDA0F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1DD63D71" w14:textId="77777777" w:rsidR="003321D3" w:rsidRPr="003037CD" w:rsidRDefault="003321D3" w:rsidP="007A5BBA">
            <w:pPr>
              <w:rPr>
                <w:rFonts w:ascii="Arial" w:eastAsia="Times New Roman" w:hAnsi="Arial" w:cs="Arial"/>
                <w:sz w:val="18"/>
                <w:szCs w:val="18"/>
              </w:rPr>
            </w:pPr>
          </w:p>
          <w:p w14:paraId="3EFFD39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March 8, 2018</w:t>
            </w:r>
          </w:p>
        </w:tc>
      </w:tr>
      <w:tr w:rsidR="003321D3" w:rsidRPr="00322725" w14:paraId="695BF950" w14:textId="77777777" w:rsidTr="001F7306">
        <w:trPr>
          <w:trHeight w:val="845"/>
        </w:trPr>
        <w:tc>
          <w:tcPr>
            <w:tcW w:w="4132" w:type="dxa"/>
            <w:vAlign w:val="center"/>
          </w:tcPr>
          <w:p w14:paraId="285BB11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R307-356 Appliance Pilot Light </w:t>
            </w:r>
            <w:r w:rsidRPr="003037CD">
              <w:rPr>
                <w:rFonts w:ascii="Arial" w:eastAsia="Times New Roman" w:hAnsi="Arial" w:cs="Arial"/>
                <w:sz w:val="18"/>
                <w:szCs w:val="18"/>
                <w:vertAlign w:val="superscript"/>
              </w:rPr>
              <w:t>1</w:t>
            </w:r>
          </w:p>
          <w:p w14:paraId="60A4833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24A84A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2013</w:t>
            </w:r>
          </w:p>
          <w:p w14:paraId="1FCF28C6" w14:textId="77777777" w:rsidR="003321D3" w:rsidRPr="003037CD" w:rsidRDefault="003321D3" w:rsidP="007A5BBA">
            <w:pPr>
              <w:rPr>
                <w:rFonts w:ascii="Arial" w:eastAsia="Times New Roman" w:hAnsi="Arial" w:cs="Arial"/>
                <w:sz w:val="18"/>
                <w:szCs w:val="18"/>
              </w:rPr>
            </w:pPr>
          </w:p>
        </w:tc>
      </w:tr>
      <w:tr w:rsidR="003321D3" w:rsidRPr="00322725" w14:paraId="2FA023CC" w14:textId="77777777" w:rsidTr="001F7306">
        <w:trPr>
          <w:trHeight w:val="980"/>
        </w:trPr>
        <w:tc>
          <w:tcPr>
            <w:tcW w:w="4132" w:type="dxa"/>
            <w:vAlign w:val="center"/>
          </w:tcPr>
          <w:p w14:paraId="0878538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R307-357 Consumer Products </w:t>
            </w:r>
            <w:r w:rsidRPr="003037CD">
              <w:rPr>
                <w:rFonts w:ascii="Arial" w:eastAsia="Times New Roman" w:hAnsi="Arial" w:cs="Arial"/>
                <w:sz w:val="18"/>
                <w:szCs w:val="18"/>
                <w:vertAlign w:val="superscript"/>
              </w:rPr>
              <w:t>1</w:t>
            </w:r>
          </w:p>
          <w:p w14:paraId="0B29E16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60B8E11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May 8, 2014</w:t>
            </w:r>
          </w:p>
        </w:tc>
      </w:tr>
      <w:tr w:rsidR="003321D3" w:rsidRPr="00322725" w14:paraId="05F99684" w14:textId="77777777" w:rsidTr="001F7306">
        <w:trPr>
          <w:trHeight w:val="962"/>
        </w:trPr>
        <w:tc>
          <w:tcPr>
            <w:tcW w:w="4132" w:type="dxa"/>
            <w:vAlign w:val="center"/>
          </w:tcPr>
          <w:p w14:paraId="2D8A06E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R307-361 Architectural Coatings</w:t>
            </w:r>
            <w:r w:rsidRPr="003037CD">
              <w:rPr>
                <w:rFonts w:ascii="Arial" w:eastAsia="Times New Roman" w:hAnsi="Arial" w:cs="Arial"/>
                <w:sz w:val="18"/>
                <w:szCs w:val="18"/>
                <w:vertAlign w:val="superscript"/>
              </w:rPr>
              <w:t xml:space="preserve"> 1</w:t>
            </w:r>
          </w:p>
          <w:p w14:paraId="2338865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4A85B18F" w14:textId="77777777" w:rsidR="003321D3" w:rsidRPr="003037CD" w:rsidRDefault="003321D3" w:rsidP="0011163E">
            <w:pPr>
              <w:keepNext/>
              <w:rPr>
                <w:rFonts w:ascii="Arial" w:eastAsia="Times New Roman" w:hAnsi="Arial" w:cs="Arial"/>
                <w:sz w:val="18"/>
                <w:szCs w:val="18"/>
              </w:rPr>
            </w:pPr>
            <w:r w:rsidRPr="003037CD">
              <w:rPr>
                <w:rFonts w:ascii="Arial" w:eastAsia="Times New Roman" w:hAnsi="Arial" w:cs="Arial"/>
                <w:sz w:val="18"/>
                <w:szCs w:val="18"/>
              </w:rPr>
              <w:t>October 31, 2013</w:t>
            </w:r>
          </w:p>
        </w:tc>
      </w:tr>
    </w:tbl>
    <w:p w14:paraId="37DB2947" w14:textId="41A47006" w:rsidR="0011163E" w:rsidRPr="00113E09" w:rsidRDefault="0011163E">
      <w:pPr>
        <w:pStyle w:val="Caption"/>
        <w:rPr>
          <w:color w:val="auto"/>
        </w:rPr>
      </w:pPr>
      <w:bookmarkStart w:id="28" w:name="_Toc17268994"/>
      <w:bookmarkStart w:id="29" w:name="_Toc10186277"/>
      <w:bookmarkStart w:id="30" w:name="_Toc16156402"/>
      <w:r w:rsidRPr="00113E09">
        <w:rPr>
          <w:color w:val="auto"/>
        </w:rPr>
        <w:t xml:space="preserve">Table IX.A.36. </w:t>
      </w:r>
      <w:r w:rsidR="00767843" w:rsidRPr="00113E09">
        <w:rPr>
          <w:color w:val="auto"/>
        </w:rPr>
        <w:fldChar w:fldCharType="begin"/>
      </w:r>
      <w:r w:rsidR="00767843" w:rsidRPr="00113E09">
        <w:rPr>
          <w:color w:val="auto"/>
        </w:rPr>
        <w:instrText xml:space="preserve"> SEQ Table_IX.A.36. \* ARABIC </w:instrText>
      </w:r>
      <w:r w:rsidR="00767843" w:rsidRPr="00113E09">
        <w:rPr>
          <w:color w:val="auto"/>
        </w:rPr>
        <w:fldChar w:fldCharType="separate"/>
      </w:r>
      <w:r w:rsidR="00767843">
        <w:rPr>
          <w:noProof/>
          <w:color w:val="auto"/>
        </w:rPr>
        <w:t>4</w:t>
      </w:r>
      <w:r w:rsidR="00767843" w:rsidRPr="00113E09">
        <w:rPr>
          <w:noProof/>
          <w:color w:val="auto"/>
        </w:rPr>
        <w:fldChar w:fldCharType="end"/>
      </w:r>
      <w:r w:rsidRPr="00113E09">
        <w:rPr>
          <w:color w:val="auto"/>
        </w:rPr>
        <w:t xml:space="preserve"> Area </w:t>
      </w:r>
      <w:r w:rsidR="00093F67" w:rsidRPr="00113E09">
        <w:rPr>
          <w:color w:val="auto"/>
        </w:rPr>
        <w:t>S</w:t>
      </w:r>
      <w:r w:rsidRPr="00113E09">
        <w:rPr>
          <w:color w:val="auto"/>
        </w:rPr>
        <w:t xml:space="preserve">ource </w:t>
      </w:r>
      <w:r w:rsidR="00093F67" w:rsidRPr="00113E09">
        <w:rPr>
          <w:color w:val="auto"/>
        </w:rPr>
        <w:t>R</w:t>
      </w:r>
      <w:r w:rsidRPr="00113E09">
        <w:rPr>
          <w:color w:val="auto"/>
        </w:rPr>
        <w:t xml:space="preserve">ules </w:t>
      </w:r>
      <w:r w:rsidR="00093F67" w:rsidRPr="00113E09">
        <w:rPr>
          <w:color w:val="auto"/>
        </w:rPr>
        <w:t>I</w:t>
      </w:r>
      <w:r w:rsidRPr="00113E09">
        <w:rPr>
          <w:color w:val="auto"/>
        </w:rPr>
        <w:t xml:space="preserve">mplementation </w:t>
      </w:r>
      <w:r w:rsidR="00093F67" w:rsidRPr="00113E09">
        <w:rPr>
          <w:color w:val="auto"/>
        </w:rPr>
        <w:t>S</w:t>
      </w:r>
      <w:r w:rsidRPr="00113E09">
        <w:rPr>
          <w:color w:val="auto"/>
        </w:rPr>
        <w:t xml:space="preserve">chedule and EPA </w:t>
      </w:r>
      <w:r w:rsidR="00093F67" w:rsidRPr="00113E09">
        <w:rPr>
          <w:color w:val="auto"/>
        </w:rPr>
        <w:t>A</w:t>
      </w:r>
      <w:r w:rsidRPr="00113E09">
        <w:rPr>
          <w:color w:val="auto"/>
        </w:rPr>
        <w:t xml:space="preserve">pproval </w:t>
      </w:r>
      <w:r w:rsidR="00093F67" w:rsidRPr="00113E09">
        <w:rPr>
          <w:color w:val="auto"/>
        </w:rPr>
        <w:t>S</w:t>
      </w:r>
      <w:r w:rsidRPr="00113E09">
        <w:rPr>
          <w:color w:val="auto"/>
        </w:rPr>
        <w:t>tatus</w:t>
      </w:r>
      <w:bookmarkEnd w:id="28"/>
    </w:p>
    <w:bookmarkEnd w:id="29"/>
    <w:bookmarkEnd w:id="30"/>
    <w:p w14:paraId="01C49CC8" w14:textId="77777777" w:rsidR="001E467E" w:rsidRDefault="001E467E" w:rsidP="001E467E">
      <w:pPr>
        <w:spacing w:after="0" w:line="240" w:lineRule="auto"/>
        <w:rPr>
          <w:iCs/>
        </w:rPr>
      </w:pPr>
      <w:r w:rsidRPr="0033112D">
        <w:rPr>
          <w:iCs/>
          <w:vertAlign w:val="superscript"/>
        </w:rPr>
        <w:t>1</w:t>
      </w:r>
      <w:r w:rsidRPr="0033112D">
        <w:rPr>
          <w:iCs/>
        </w:rPr>
        <w:t xml:space="preserve"> control measure implementation schedule and confirmation that measures have been implemented </w:t>
      </w:r>
    </w:p>
    <w:p w14:paraId="6EBF4F96" w14:textId="77777777" w:rsidR="001E467E" w:rsidRDefault="001E467E" w:rsidP="001E467E">
      <w:pPr>
        <w:spacing w:after="0" w:line="240" w:lineRule="auto"/>
        <w:rPr>
          <w:iCs/>
        </w:rPr>
      </w:pPr>
      <w:r w:rsidRPr="0033112D">
        <w:rPr>
          <w:iCs/>
          <w:vertAlign w:val="superscript"/>
        </w:rPr>
        <w:t>2</w:t>
      </w:r>
      <w:r w:rsidRPr="0033112D">
        <w:rPr>
          <w:iCs/>
        </w:rPr>
        <w:t xml:space="preserve"> control measure implementation schedule and review if any new sources located in the NAA</w:t>
      </w:r>
    </w:p>
    <w:p w14:paraId="3C5D30C5" w14:textId="4F34D9C8" w:rsidR="001E467E" w:rsidRPr="0033112D" w:rsidRDefault="001E467E" w:rsidP="001E467E">
      <w:pPr>
        <w:spacing w:after="0" w:line="240" w:lineRule="auto"/>
        <w:rPr>
          <w:iCs/>
        </w:rPr>
      </w:pPr>
      <w:bookmarkStart w:id="31" w:name="_Hlk15285730"/>
      <w:r>
        <w:rPr>
          <w:iCs/>
        </w:rPr>
        <w:t xml:space="preserve">*UDAQ submitted the </w:t>
      </w:r>
      <w:r w:rsidRPr="003140BC">
        <w:rPr>
          <w:iCs/>
        </w:rPr>
        <w:t xml:space="preserve">committed revisions </w:t>
      </w:r>
      <w:r w:rsidR="003140BC" w:rsidRPr="003140BC">
        <w:rPr>
          <w:iCs/>
        </w:rPr>
        <w:t>on February 1, 2017, within</w:t>
      </w:r>
      <w:r w:rsidRPr="003140BC">
        <w:rPr>
          <w:iCs/>
        </w:rPr>
        <w:t xml:space="preserve"> the</w:t>
      </w:r>
      <w:r>
        <w:rPr>
          <w:iCs/>
        </w:rPr>
        <w:t xml:space="preserve"> one</w:t>
      </w:r>
      <w:r w:rsidR="00FE7D89">
        <w:rPr>
          <w:iCs/>
        </w:rPr>
        <w:t>-</w:t>
      </w:r>
      <w:r>
        <w:rPr>
          <w:iCs/>
        </w:rPr>
        <w:t xml:space="preserve">year conditional approval </w:t>
      </w:r>
      <w:r w:rsidR="0037752E">
        <w:rPr>
          <w:iCs/>
        </w:rPr>
        <w:t>window</w:t>
      </w:r>
    </w:p>
    <w:bookmarkEnd w:id="31"/>
    <w:p w14:paraId="44442551" w14:textId="77777777" w:rsidR="001E467E" w:rsidRPr="00113E09" w:rsidRDefault="001E467E" w:rsidP="00E875DA"/>
    <w:p w14:paraId="56A42835" w14:textId="08520CBA" w:rsidR="008D2A15" w:rsidRPr="00113E09" w:rsidRDefault="005F0CB4" w:rsidP="00E875DA">
      <w:r w:rsidRPr="00113E09">
        <w:t>The clean data determinati</w:t>
      </w:r>
      <w:r w:rsidR="00824D8D" w:rsidRPr="00113E09">
        <w:t xml:space="preserve">on </w:t>
      </w:r>
      <w:r w:rsidR="002E3ACC" w:rsidRPr="00113E09">
        <w:t xml:space="preserve">has suspended all other elements of the </w:t>
      </w:r>
      <w:r w:rsidR="00432AFC" w:rsidRPr="00113E09">
        <w:t>SLC NAA</w:t>
      </w:r>
      <w:r w:rsidR="002E3ACC" w:rsidRPr="00113E09">
        <w:t xml:space="preserve"> PM</w:t>
      </w:r>
      <w:r w:rsidR="002E3ACC" w:rsidRPr="00113E09">
        <w:rPr>
          <w:vertAlign w:val="subscript"/>
        </w:rPr>
        <w:t xml:space="preserve">2.5 </w:t>
      </w:r>
      <w:r w:rsidR="002E3ACC" w:rsidRPr="00113E09">
        <w:t xml:space="preserve">attainment plan, including reasonable further progress (RFP) plans, quantitative milestones, and contingency measures </w:t>
      </w:r>
      <w:r w:rsidR="00D36D1B" w:rsidRPr="00113E09">
        <w:t>at this time.</w:t>
      </w:r>
      <w:r w:rsidR="00D7064C" w:rsidRPr="00113E09">
        <w:rPr>
          <w:rFonts w:cs="Times New Roman"/>
        </w:rPr>
        <w:t xml:space="preserve"> Considering the suspended SIP elements through the clean data policy and the approval or expected approval of required elements, Utah has met requirement 107(d)(3)(E)(ii) for the SLC NAA.</w:t>
      </w:r>
    </w:p>
    <w:p w14:paraId="72A76719" w14:textId="1C386427" w:rsidR="00083D6C" w:rsidRPr="00306BC8" w:rsidRDefault="0048689A" w:rsidP="00306BC8">
      <w:pPr>
        <w:pStyle w:val="Heading2"/>
      </w:pPr>
      <w:bookmarkStart w:id="32" w:name="_Toc17268961"/>
      <w:r w:rsidRPr="00306BC8">
        <w:t xml:space="preserve">(3) </w:t>
      </w:r>
      <w:r w:rsidR="004C1422" w:rsidRPr="00306BC8">
        <w:t>Improvements in Air Quality Due to Permanent and Enforceable Reductions in Emissions</w:t>
      </w:r>
      <w:bookmarkEnd w:id="32"/>
      <w:r w:rsidR="004C1422" w:rsidRPr="00306BC8">
        <w:t xml:space="preserve"> </w:t>
      </w:r>
    </w:p>
    <w:p w14:paraId="1B2B0EDD" w14:textId="77777777" w:rsidR="00122580" w:rsidRPr="00872D6C" w:rsidRDefault="00122580" w:rsidP="00083D6C">
      <w:pPr>
        <w:rPr>
          <w:rFonts w:cs="Times New Roman"/>
        </w:rPr>
      </w:pPr>
      <w:r w:rsidRPr="00872D6C">
        <w:rPr>
          <w:rFonts w:cs="Times New Roman"/>
        </w:rPr>
        <w:t xml:space="preserve">CAA 107(d)(3)(E)(iii) - </w:t>
      </w:r>
      <w:r w:rsidRPr="00872D6C">
        <w:rPr>
          <w:rFonts w:cs="Times New Roman"/>
          <w:i/>
          <w:iCs/>
        </w:rPr>
        <w:t xml:space="preserve">The Administrator determines that the improvement in air quality is due to permanent and enforceable reductions in emissions resulting from implementation of the applicable implementation plan and applicable Federal air pollutant control regulations and other permanent and </w:t>
      </w:r>
      <w:r w:rsidRPr="00872D6C">
        <w:rPr>
          <w:rFonts w:cs="Times New Roman"/>
          <w:i/>
          <w:iCs/>
        </w:rPr>
        <w:lastRenderedPageBreak/>
        <w:t xml:space="preserve">enforceable reductions. </w:t>
      </w:r>
      <w:r w:rsidRPr="00A36072">
        <w:t>Speaking further on the issue, EPA guidance</w:t>
      </w:r>
      <w:r w:rsidR="00D86AAE">
        <w:rPr>
          <w:rStyle w:val="FootnoteReference"/>
        </w:rPr>
        <w:footnoteReference w:id="12"/>
      </w:r>
      <w:r w:rsidRPr="00A36072">
        <w:t xml:space="preserve"> reads that the State must be able to reasonably attribute the improvement in air quality to emission reductions which are permanent and enforceable. In the following sections, both the improvement in air quality and the emission reductions themselves will be discussed.</w:t>
      </w:r>
    </w:p>
    <w:p w14:paraId="5DE5F399" w14:textId="110D1437" w:rsidR="005E7104" w:rsidRPr="00872D6C" w:rsidRDefault="005E7104" w:rsidP="00306BC8">
      <w:pPr>
        <w:pStyle w:val="Heading3"/>
        <w:numPr>
          <w:ilvl w:val="0"/>
          <w:numId w:val="38"/>
        </w:numPr>
      </w:pPr>
      <w:bookmarkStart w:id="33" w:name="_Toc17268962"/>
      <w:r w:rsidRPr="00872D6C">
        <w:t>Improvement in Air Quality</w:t>
      </w:r>
      <w:bookmarkEnd w:id="33"/>
    </w:p>
    <w:p w14:paraId="59BF2114" w14:textId="154267A5" w:rsidR="00BE6D17" w:rsidRPr="00113E09" w:rsidRDefault="00BE6D17" w:rsidP="00E875DA">
      <w:r>
        <w:t xml:space="preserve">The improvement in air quality with respect to </w:t>
      </w:r>
      <w:r w:rsidR="00AD1106" w:rsidRPr="00EF2C3F">
        <w:t>PM</w:t>
      </w:r>
      <w:r w:rsidR="00AD1106" w:rsidRPr="00EF2C3F">
        <w:rPr>
          <w:vertAlign w:val="subscript"/>
        </w:rPr>
        <w:t>2.5</w:t>
      </w:r>
      <w:r>
        <w:t xml:space="preserve"> can be shown in a number of ways. Improvement, in this ca</w:t>
      </w:r>
      <w:r w:rsidRPr="00113E09">
        <w:t xml:space="preserve">se, is relative to the various </w:t>
      </w:r>
      <w:r w:rsidR="00942F24" w:rsidRPr="00113E09">
        <w:t>control strategies that affected</w:t>
      </w:r>
      <w:r w:rsidRPr="00113E09">
        <w:t xml:space="preserve"> the airshed. </w:t>
      </w:r>
      <w:r w:rsidR="000F2DEB" w:rsidRPr="00113E09">
        <w:t xml:space="preserve">For the SLC NAA, these control strategies were implemented as the result of both the </w:t>
      </w:r>
      <w:r w:rsidR="00981497" w:rsidRPr="00113E09">
        <w:t>m</w:t>
      </w:r>
      <w:r w:rsidR="000F2DEB" w:rsidRPr="00113E09">
        <w:t xml:space="preserve">oderate SIP and the </w:t>
      </w:r>
      <w:r w:rsidR="00542D13" w:rsidRPr="00113E09">
        <w:t>s</w:t>
      </w:r>
      <w:r w:rsidR="000F2DEB" w:rsidRPr="00113E09">
        <w:t xml:space="preserve">erious SIP, submitted to EPA in December 2014 and February 2019, respectively. The various control measure effective dates are </w:t>
      </w:r>
      <w:r w:rsidR="00BA5C92" w:rsidRPr="00113E09">
        <w:t>detailed in Tables IX.</w:t>
      </w:r>
      <w:r w:rsidR="00BD6DFF" w:rsidRPr="00113E09">
        <w:t>A.</w:t>
      </w:r>
      <w:r w:rsidR="00BA5C92" w:rsidRPr="00113E09">
        <w:t>36.4 and IX.</w:t>
      </w:r>
      <w:r w:rsidR="00BD6DFF" w:rsidRPr="00113E09">
        <w:t>A.</w:t>
      </w:r>
      <w:r w:rsidR="00BA5C92" w:rsidRPr="00113E09">
        <w:t>36.</w:t>
      </w:r>
      <w:r w:rsidR="00DD4BFA" w:rsidRPr="00113E09">
        <w:t>6</w:t>
      </w:r>
      <w:r w:rsidR="000F2DEB" w:rsidRPr="00113E09">
        <w:t>.</w:t>
      </w:r>
    </w:p>
    <w:p w14:paraId="1464D6B5" w14:textId="5DC3DFBD" w:rsidR="007C64F9" w:rsidRPr="00113E09" w:rsidRDefault="00395817" w:rsidP="00E875DA">
      <w:r w:rsidRPr="00113E09">
        <w:t>An</w:t>
      </w:r>
      <w:r w:rsidR="007C64F9" w:rsidRPr="00113E09">
        <w:t xml:space="preserve"> assess</w:t>
      </w:r>
      <w:r w:rsidRPr="00113E09">
        <w:t>ment of</w:t>
      </w:r>
      <w:r w:rsidR="007C64F9" w:rsidRPr="00113E09">
        <w:t xml:space="preserve"> the ambient air quality data collected at monitors in the NAA </w:t>
      </w:r>
      <w:r w:rsidRPr="00113E09">
        <w:t xml:space="preserve">from the year monitoring began to </w:t>
      </w:r>
      <w:r w:rsidR="00FD65C6" w:rsidRPr="00113E09">
        <w:t>2018 (</w:t>
      </w:r>
      <w:r w:rsidRPr="00113E09">
        <w:t>the last year of validated data</w:t>
      </w:r>
      <w:r w:rsidR="00FD65C6" w:rsidRPr="00113E09">
        <w:t>)</w:t>
      </w:r>
      <w:r w:rsidRPr="00113E09">
        <w:t xml:space="preserve"> shows an observable decrease in monitored </w:t>
      </w:r>
      <w:r w:rsidR="00AD1106" w:rsidRPr="00113E09">
        <w:t>PM</w:t>
      </w:r>
      <w:r w:rsidR="00AD1106" w:rsidRPr="00113E09">
        <w:rPr>
          <w:vertAlign w:val="subscript"/>
        </w:rPr>
        <w:t>2.5</w:t>
      </w:r>
      <w:r w:rsidR="00FC7DE3" w:rsidRPr="00113E09">
        <w:t xml:space="preserve"> (see Figure</w:t>
      </w:r>
      <w:r w:rsidR="00CC4C79" w:rsidRPr="00113E09">
        <w:t>s</w:t>
      </w:r>
      <w:r w:rsidR="00FC7DE3" w:rsidRPr="00113E09">
        <w:t xml:space="preserve"> IX.A.</w:t>
      </w:r>
      <w:r w:rsidR="000F2DEB" w:rsidRPr="00113E09">
        <w:t>36</w:t>
      </w:r>
      <w:r w:rsidR="00FC7DE3" w:rsidRPr="00113E09">
        <w:t>.</w:t>
      </w:r>
      <w:r w:rsidR="00CC4C79" w:rsidRPr="00113E09">
        <w:t>2 and IX.A.36.3</w:t>
      </w:r>
      <w:r w:rsidRPr="00113E09">
        <w:t>)</w:t>
      </w:r>
      <w:r w:rsidR="007C64F9" w:rsidRPr="00113E09">
        <w:t xml:space="preserve">. The </w:t>
      </w:r>
      <w:r w:rsidR="000F2DEB" w:rsidRPr="00113E09">
        <w:t>SLC</w:t>
      </w:r>
      <w:r w:rsidR="007C64F9" w:rsidRPr="00113E09">
        <w:t xml:space="preserve"> NAA is designated nonattainment only for the 24-hour health standard</w:t>
      </w:r>
      <w:r w:rsidR="00BE6D17" w:rsidRPr="00113E09">
        <w:t>, not for the annual standard</w:t>
      </w:r>
      <w:r w:rsidR="00B56C83" w:rsidRPr="00113E09">
        <w:t>. However, it is useful to observe both the 98</w:t>
      </w:r>
      <w:r w:rsidR="00B56C83" w:rsidRPr="00113E09">
        <w:rPr>
          <w:vertAlign w:val="superscript"/>
        </w:rPr>
        <w:t>th</w:t>
      </w:r>
      <w:r w:rsidR="00B56C83" w:rsidRPr="00113E09">
        <w:t xml:space="preserve"> percentile average of 24-hr data as well as the annual arithmetic</w:t>
      </w:r>
      <w:r w:rsidRPr="00113E09">
        <w:t xml:space="preserve"> mean to unde</w:t>
      </w:r>
      <w:r w:rsidR="00FC7DE3" w:rsidRPr="00113E09">
        <w:t>rstand trends</w:t>
      </w:r>
      <w:r w:rsidR="00245873" w:rsidRPr="00113E09">
        <w:t>. Ambient concentration</w:t>
      </w:r>
      <w:r w:rsidR="00AF211C" w:rsidRPr="00113E09">
        <w:t>s</w:t>
      </w:r>
      <w:r w:rsidR="00245873" w:rsidRPr="00113E09">
        <w:t xml:space="preserve"> in excess of the 24-hr standard are typically only incurred during winter months when cold-pool conditions drive and trap secondary </w:t>
      </w:r>
      <w:r w:rsidR="00AD1106" w:rsidRPr="00113E09">
        <w:t>PM</w:t>
      </w:r>
      <w:r w:rsidR="00AD1106" w:rsidRPr="00113E09">
        <w:rPr>
          <w:vertAlign w:val="subscript"/>
        </w:rPr>
        <w:t>2.5</w:t>
      </w:r>
      <w:r w:rsidR="00245873" w:rsidRPr="00113E09">
        <w:t>.</w:t>
      </w:r>
      <w:r w:rsidR="00DF5BC5" w:rsidRPr="00113E09">
        <w:t xml:space="preserve"> </w:t>
      </w:r>
      <w:r w:rsidR="00245873" w:rsidRPr="00113E09">
        <w:t xml:space="preserve">The actual cold-pool temperature inversions vary in strength and duration from year to year, and the </w:t>
      </w:r>
      <w:r w:rsidR="00AD1106" w:rsidRPr="00113E09">
        <w:t>PM</w:t>
      </w:r>
      <w:r w:rsidR="00AD1106" w:rsidRPr="00113E09">
        <w:rPr>
          <w:vertAlign w:val="subscript"/>
        </w:rPr>
        <w:t>2.5</w:t>
      </w:r>
      <w:r w:rsidR="00245873" w:rsidRPr="00113E09">
        <w:t xml:space="preserve"> concentrations measured during those times reflect this variability far more than they reflect gradual changes in the emissions of </w:t>
      </w:r>
      <w:r w:rsidR="00430BCB" w:rsidRPr="00113E09">
        <w:t xml:space="preserve">direct </w:t>
      </w:r>
      <w:r w:rsidR="00AD1106" w:rsidRPr="00113E09">
        <w:t>PM</w:t>
      </w:r>
      <w:r w:rsidR="00AD1106" w:rsidRPr="00113E09">
        <w:rPr>
          <w:vertAlign w:val="subscript"/>
        </w:rPr>
        <w:t>2.5</w:t>
      </w:r>
      <w:r w:rsidR="00245873" w:rsidRPr="00113E09">
        <w:t xml:space="preserve"> and </w:t>
      </w:r>
      <w:r w:rsidR="00AD1106" w:rsidRPr="00113E09">
        <w:t>PM</w:t>
      </w:r>
      <w:r w:rsidR="00AD1106" w:rsidRPr="00113E09">
        <w:rPr>
          <w:vertAlign w:val="subscript"/>
        </w:rPr>
        <w:t>2.5</w:t>
      </w:r>
      <w:r w:rsidR="00245873" w:rsidRPr="00113E09">
        <w:t xml:space="preserve"> precursors. This varia</w:t>
      </w:r>
      <w:r w:rsidR="00AB45F0" w:rsidRPr="00113E09">
        <w:t xml:space="preserve">bility is apparent in Figure </w:t>
      </w:r>
      <w:r w:rsidR="002C5B97" w:rsidRPr="00113E09">
        <w:t>IX.A.36.3</w:t>
      </w:r>
      <w:r w:rsidR="00245873" w:rsidRPr="00113E09">
        <w:t xml:space="preserve">. Despite the variability, if a line is fit through the 24-hr data, the trend is noticeably downward and indicates an improvement of </w:t>
      </w:r>
      <w:r w:rsidR="00AA2399" w:rsidRPr="00113E09">
        <w:t>approximately one</w:t>
      </w:r>
      <w:r w:rsidR="00245873" w:rsidRPr="00113E09">
        <w:t xml:space="preserve"> </w:t>
      </w:r>
      <w:bookmarkStart w:id="34" w:name="_Hlk16180339"/>
      <w:r w:rsidR="007865AF" w:rsidRPr="00113E09">
        <w:t>µg /m</w:t>
      </w:r>
      <w:r w:rsidR="007865AF" w:rsidRPr="00113E09">
        <w:rPr>
          <w:vertAlign w:val="superscript"/>
        </w:rPr>
        <w:t>3</w:t>
      </w:r>
      <w:r w:rsidR="00245873" w:rsidRPr="00113E09">
        <w:t xml:space="preserve"> per year</w:t>
      </w:r>
      <w:bookmarkEnd w:id="34"/>
      <w:r w:rsidR="00245873" w:rsidRPr="00113E09">
        <w:t>.</w:t>
      </w:r>
    </w:p>
    <w:p w14:paraId="7B8D9A71" w14:textId="6905D8C1" w:rsidR="00524984" w:rsidRPr="00113E09" w:rsidRDefault="00524984" w:rsidP="00E875DA">
      <w:r w:rsidRPr="00113E09">
        <w:t xml:space="preserve">This episodic </w:t>
      </w:r>
      <w:r w:rsidR="00853CE8" w:rsidRPr="00113E09">
        <w:t>variability is reduced</w:t>
      </w:r>
      <w:r w:rsidRPr="00113E09">
        <w:t xml:space="preserve"> </w:t>
      </w:r>
      <w:r w:rsidR="005B3A83" w:rsidRPr="00113E09">
        <w:t xml:space="preserve">by looking at annual mean values of </w:t>
      </w:r>
      <w:r w:rsidR="00AD1106" w:rsidRPr="00113E09">
        <w:t>PM</w:t>
      </w:r>
      <w:r w:rsidR="00AD1106" w:rsidRPr="00113E09">
        <w:rPr>
          <w:vertAlign w:val="subscript"/>
        </w:rPr>
        <w:t>2.5</w:t>
      </w:r>
      <w:r w:rsidR="005B3A83" w:rsidRPr="00113E09">
        <w:t xml:space="preserve"> co</w:t>
      </w:r>
      <w:r w:rsidR="00D50201" w:rsidRPr="00113E09">
        <w:t xml:space="preserve">ncentrations shown in Figure </w:t>
      </w:r>
      <w:r w:rsidR="00BF3632" w:rsidRPr="00113E09">
        <w:t>IX.A.36.2</w:t>
      </w:r>
      <w:r w:rsidR="005B3A83" w:rsidRPr="00113E09">
        <w:t>. The data is still skewed more by winter data than summer data. It includes all of the high values identified as the 98</w:t>
      </w:r>
      <w:r w:rsidR="005B3A83" w:rsidRPr="00113E09">
        <w:rPr>
          <w:vertAlign w:val="superscript"/>
        </w:rPr>
        <w:t>th</w:t>
      </w:r>
      <w:r w:rsidR="005B3A83" w:rsidRPr="00113E09">
        <w:t xml:space="preserve"> percentiles, as well as the values ranked even higher. Still</w:t>
      </w:r>
      <w:r w:rsidR="00C876AA" w:rsidRPr="00113E09">
        <w:t>,</w:t>
      </w:r>
      <w:r w:rsidR="005B3A83" w:rsidRPr="00113E09">
        <w:t xml:space="preserve"> the trend is downward. Fitting a line through the</w:t>
      </w:r>
      <w:r w:rsidR="003602A0" w:rsidRPr="00113E09">
        <w:t xml:space="preserve"> data collected at the </w:t>
      </w:r>
      <w:r w:rsidR="00E54199" w:rsidRPr="00113E09">
        <w:t>Hawthorne site (chosen because it has recorded, validated data since 2000 and consistently records the 2</w:t>
      </w:r>
      <w:r w:rsidR="00E54199" w:rsidRPr="00113E09">
        <w:rPr>
          <w:vertAlign w:val="superscript"/>
        </w:rPr>
        <w:t>nd</w:t>
      </w:r>
      <w:r w:rsidR="00E54199" w:rsidRPr="00113E09">
        <w:t xml:space="preserve"> highest values after Rose Park) </w:t>
      </w:r>
      <w:r w:rsidR="005B3A83" w:rsidRPr="00113E09">
        <w:t>re</w:t>
      </w:r>
      <w:r w:rsidR="00215EB0" w:rsidRPr="00113E09">
        <w:t xml:space="preserve">veals a trend that noticeably </w:t>
      </w:r>
      <w:r w:rsidR="00034E20" w:rsidRPr="00113E09">
        <w:t>decreases and</w:t>
      </w:r>
      <w:r w:rsidR="005B3A83" w:rsidRPr="00113E09">
        <w:t xml:space="preserve"> i</w:t>
      </w:r>
      <w:r w:rsidR="00215EB0" w:rsidRPr="00113E09">
        <w:t>ndicates</w:t>
      </w:r>
      <w:r w:rsidR="00304057" w:rsidRPr="00113E09">
        <w:t xml:space="preserve"> an improvement of approximately</w:t>
      </w:r>
      <w:r w:rsidR="005773C4" w:rsidRPr="00113E09">
        <w:t xml:space="preserve"> 4.3</w:t>
      </w:r>
      <w:r w:rsidR="005B3A83" w:rsidRPr="00113E09">
        <w:t xml:space="preserve"> </w:t>
      </w:r>
      <w:r w:rsidR="007865AF" w:rsidRPr="00113E09">
        <w:t>µg /m</w:t>
      </w:r>
      <w:r w:rsidR="007865AF" w:rsidRPr="00113E09">
        <w:rPr>
          <w:vertAlign w:val="superscript"/>
        </w:rPr>
        <w:t>3</w:t>
      </w:r>
      <w:r w:rsidR="005B3A83" w:rsidRPr="00113E09">
        <w:t xml:space="preserve"> over the 18-year span.</w:t>
      </w:r>
    </w:p>
    <w:p w14:paraId="6068F4F5" w14:textId="15A43060" w:rsidR="00BB3925" w:rsidRPr="00113E09" w:rsidRDefault="00034E20" w:rsidP="00BB3925">
      <w:pPr>
        <w:rPr>
          <w:rFonts w:cs="Times New Roman"/>
          <w:iCs/>
        </w:rPr>
      </w:pPr>
      <w:r w:rsidRPr="00113E09">
        <w:rPr>
          <w:rFonts w:cs="Times New Roman"/>
        </w:rPr>
        <w:t xml:space="preserve">Improvements must be considered in light of the attainment date as well as the date by which all controls must be implemented. For the SLC NAA, the attainment date is December 31, 2019; however, 40 CFR 51.1011 establishes that control measures must be implemented no later than the beginning of the year containing the applicable attainment date. Thus, for purposes of reasonable further progress and SIP credit, the deadline for control measure implementation is January 1, 2019. Any control measures implemented beyond such date are instead regarded as additional feasible measures (that other than timing, meet the definition of BACM). Thus, by the end of 2018, the control measure emission reduction will be reflected in the ambient data, while the additional feasible measures reduction will be reflected as late as June 9, 2021 (four years after the date that the SLC NAA was redesignated as </w:t>
      </w:r>
      <w:r w:rsidR="00542D13" w:rsidRPr="00113E09">
        <w:rPr>
          <w:rFonts w:cs="Times New Roman"/>
        </w:rPr>
        <w:t>s</w:t>
      </w:r>
      <w:r w:rsidRPr="00113E09">
        <w:rPr>
          <w:rFonts w:cs="Times New Roman"/>
        </w:rPr>
        <w:t xml:space="preserve">erious). The </w:t>
      </w:r>
      <w:r w:rsidRPr="00113E09">
        <w:rPr>
          <w:rFonts w:cs="Times New Roman"/>
        </w:rPr>
        <w:lastRenderedPageBreak/>
        <w:t xml:space="preserve">requirement to ensure BACM/BACT </w:t>
      </w:r>
      <w:r w:rsidR="00D6668F" w:rsidRPr="00113E09">
        <w:rPr>
          <w:rFonts w:cs="Times New Roman"/>
        </w:rPr>
        <w:t>is</w:t>
      </w:r>
      <w:r w:rsidRPr="00113E09">
        <w:rPr>
          <w:rFonts w:cs="Times New Roman"/>
        </w:rPr>
        <w:t xml:space="preserve"> in addition to the requirements from the </w:t>
      </w:r>
      <w:r w:rsidR="00981497" w:rsidRPr="00113E09">
        <w:rPr>
          <w:rFonts w:cs="Times New Roman"/>
        </w:rPr>
        <w:t>m</w:t>
      </w:r>
      <w:r w:rsidRPr="00113E09">
        <w:rPr>
          <w:rFonts w:cs="Times New Roman"/>
        </w:rPr>
        <w:t xml:space="preserve">oderate Area </w:t>
      </w:r>
      <w:r w:rsidRPr="00113E09">
        <w:rPr>
          <w:rFonts w:cs="Times New Roman"/>
          <w:iCs/>
        </w:rPr>
        <w:t>SIP, which included RACM and RACT.</w:t>
      </w:r>
    </w:p>
    <w:p w14:paraId="6BBC2084" w14:textId="77777777" w:rsidR="00FE7D89" w:rsidRPr="00113E09" w:rsidRDefault="000F2575" w:rsidP="00FE7D89">
      <w:pPr>
        <w:keepNext/>
      </w:pPr>
      <w:r w:rsidRPr="00113E09">
        <w:rPr>
          <w:noProof/>
        </w:rPr>
        <w:drawing>
          <wp:inline distT="0" distB="0" distL="0" distR="0" wp14:anchorId="3C4B036B" wp14:editId="284B5047">
            <wp:extent cx="5904411" cy="3015682"/>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3345" cy="3015137"/>
                    </a:xfrm>
                    <a:prstGeom prst="rect">
                      <a:avLst/>
                    </a:prstGeom>
                    <a:noFill/>
                  </pic:spPr>
                </pic:pic>
              </a:graphicData>
            </a:graphic>
          </wp:inline>
        </w:drawing>
      </w:r>
    </w:p>
    <w:p w14:paraId="66B59290" w14:textId="567162FB" w:rsidR="000F2575" w:rsidRPr="00113E09" w:rsidRDefault="00FE7D89" w:rsidP="00FE7D89">
      <w:pPr>
        <w:pStyle w:val="Caption"/>
        <w:rPr>
          <w:color w:val="auto"/>
        </w:rPr>
      </w:pPr>
      <w:bookmarkStart w:id="35" w:name="_Toc17269004"/>
      <w:r w:rsidRPr="00113E09">
        <w:rPr>
          <w:color w:val="auto"/>
        </w:rPr>
        <w:t xml:space="preserve">Figure IX.A.36. </w:t>
      </w:r>
      <w:r w:rsidR="00767843" w:rsidRPr="00113E09">
        <w:rPr>
          <w:color w:val="auto"/>
        </w:rPr>
        <w:fldChar w:fldCharType="begin"/>
      </w:r>
      <w:r w:rsidR="00767843" w:rsidRPr="00113E09">
        <w:rPr>
          <w:color w:val="auto"/>
        </w:rPr>
        <w:instrText xml:space="preserve"> SEQ Figure_IX.A.36. \* ARABIC </w:instrText>
      </w:r>
      <w:r w:rsidR="00767843" w:rsidRPr="00113E09">
        <w:rPr>
          <w:color w:val="auto"/>
        </w:rPr>
        <w:fldChar w:fldCharType="separate"/>
      </w:r>
      <w:r w:rsidR="00767843">
        <w:rPr>
          <w:noProof/>
          <w:color w:val="auto"/>
        </w:rPr>
        <w:t>2</w:t>
      </w:r>
      <w:r w:rsidR="00767843" w:rsidRPr="00113E09">
        <w:rPr>
          <w:noProof/>
          <w:color w:val="auto"/>
        </w:rPr>
        <w:fldChar w:fldCharType="end"/>
      </w:r>
      <w:r w:rsidRPr="00113E09">
        <w:rPr>
          <w:color w:val="auto"/>
        </w:rPr>
        <w:t xml:space="preserve"> SLC NAA PM</w:t>
      </w:r>
      <w:r w:rsidR="00C31809" w:rsidRPr="00113E09">
        <w:rPr>
          <w:color w:val="auto"/>
          <w:vertAlign w:val="subscript"/>
        </w:rPr>
        <w:t>2.5</w:t>
      </w:r>
      <w:r w:rsidRPr="00113E09">
        <w:rPr>
          <w:color w:val="auto"/>
        </w:rPr>
        <w:t xml:space="preserve"> Annual Mean Concentration</w:t>
      </w:r>
      <w:bookmarkEnd w:id="35"/>
    </w:p>
    <w:p w14:paraId="5EC49825" w14:textId="620DE81B" w:rsidR="000F2575" w:rsidRDefault="000F2575" w:rsidP="000F2575">
      <w:pPr>
        <w:pStyle w:val="Caption"/>
      </w:pPr>
    </w:p>
    <w:p w14:paraId="59E1F446" w14:textId="77777777" w:rsidR="00BB3925" w:rsidRPr="00BB3925" w:rsidRDefault="00BB3925" w:rsidP="00BB3925"/>
    <w:p w14:paraId="114A2890" w14:textId="77777777" w:rsidR="00B23D65" w:rsidRDefault="000F2575" w:rsidP="00B23D65">
      <w:pPr>
        <w:keepNext/>
      </w:pPr>
      <w:r>
        <w:rPr>
          <w:noProof/>
        </w:rPr>
        <w:lastRenderedPageBreak/>
        <w:drawing>
          <wp:inline distT="0" distB="0" distL="0" distR="0" wp14:anchorId="318B4118" wp14:editId="6C5384F0">
            <wp:extent cx="5899224" cy="293522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8060" cy="2934650"/>
                    </a:xfrm>
                    <a:prstGeom prst="rect">
                      <a:avLst/>
                    </a:prstGeom>
                    <a:noFill/>
                  </pic:spPr>
                </pic:pic>
              </a:graphicData>
            </a:graphic>
          </wp:inline>
        </w:drawing>
      </w:r>
    </w:p>
    <w:p w14:paraId="12A39F53" w14:textId="492651B8" w:rsidR="00D628F8" w:rsidRPr="00113E09" w:rsidRDefault="00B23D65" w:rsidP="00B23D65">
      <w:pPr>
        <w:pStyle w:val="Caption"/>
        <w:rPr>
          <w:color w:val="auto"/>
        </w:rPr>
      </w:pPr>
      <w:bookmarkStart w:id="36" w:name="_Toc17269005"/>
      <w:r w:rsidRPr="00113E09">
        <w:rPr>
          <w:color w:val="auto"/>
        </w:rPr>
        <w:t xml:space="preserve">Figure IX.A.36. </w:t>
      </w:r>
      <w:r w:rsidR="00767843" w:rsidRPr="00113E09">
        <w:rPr>
          <w:color w:val="auto"/>
        </w:rPr>
        <w:fldChar w:fldCharType="begin"/>
      </w:r>
      <w:r w:rsidR="00767843" w:rsidRPr="00113E09">
        <w:rPr>
          <w:color w:val="auto"/>
        </w:rPr>
        <w:instrText xml:space="preserve"> SEQ Figure_IX.A.36. \* ARABIC </w:instrText>
      </w:r>
      <w:r w:rsidR="00767843" w:rsidRPr="00113E09">
        <w:rPr>
          <w:color w:val="auto"/>
        </w:rPr>
        <w:fldChar w:fldCharType="separate"/>
      </w:r>
      <w:r w:rsidR="00767843">
        <w:rPr>
          <w:noProof/>
          <w:color w:val="auto"/>
        </w:rPr>
        <w:t>3</w:t>
      </w:r>
      <w:r w:rsidR="00767843" w:rsidRPr="00113E09">
        <w:rPr>
          <w:noProof/>
          <w:color w:val="auto"/>
        </w:rPr>
        <w:fldChar w:fldCharType="end"/>
      </w:r>
      <w:r w:rsidRPr="00113E09">
        <w:rPr>
          <w:color w:val="auto"/>
        </w:rPr>
        <w:t xml:space="preserve"> SLC NAA PM</w:t>
      </w:r>
      <w:r w:rsidRPr="00113E09">
        <w:rPr>
          <w:color w:val="auto"/>
          <w:vertAlign w:val="subscript"/>
        </w:rPr>
        <w:t>2.5</w:t>
      </w:r>
      <w:r w:rsidRPr="00113E09">
        <w:rPr>
          <w:color w:val="auto"/>
        </w:rPr>
        <w:t xml:space="preserve"> 98</w:t>
      </w:r>
      <w:r w:rsidRPr="00113E09">
        <w:rPr>
          <w:color w:val="auto"/>
          <w:vertAlign w:val="superscript"/>
        </w:rPr>
        <w:t>th</w:t>
      </w:r>
      <w:r w:rsidRPr="00113E09">
        <w:rPr>
          <w:color w:val="auto"/>
        </w:rPr>
        <w:t xml:space="preserve"> </w:t>
      </w:r>
      <w:r w:rsidR="009657DC" w:rsidRPr="00113E09">
        <w:rPr>
          <w:color w:val="auto"/>
        </w:rPr>
        <w:t>P</w:t>
      </w:r>
      <w:r w:rsidRPr="00113E09">
        <w:rPr>
          <w:color w:val="auto"/>
        </w:rPr>
        <w:t xml:space="preserve">ercentile of 24-hr </w:t>
      </w:r>
      <w:r w:rsidR="009657DC" w:rsidRPr="00113E09">
        <w:rPr>
          <w:color w:val="auto"/>
        </w:rPr>
        <w:t>C</w:t>
      </w:r>
      <w:r w:rsidRPr="00113E09">
        <w:rPr>
          <w:color w:val="auto"/>
        </w:rPr>
        <w:t>oncentration</w:t>
      </w:r>
      <w:bookmarkEnd w:id="36"/>
    </w:p>
    <w:p w14:paraId="0A50D2F2" w14:textId="160C7BB4" w:rsidR="00CF523D" w:rsidRPr="00E744A2" w:rsidRDefault="00CF523D" w:rsidP="0054777F">
      <w:pPr>
        <w:pStyle w:val="Heading4"/>
      </w:pPr>
      <w:bookmarkStart w:id="37" w:name="_Toc17268963"/>
      <w:r w:rsidRPr="00E744A2">
        <w:t>Reduction in Emissions</w:t>
      </w:r>
      <w:bookmarkEnd w:id="37"/>
    </w:p>
    <w:p w14:paraId="59B95219" w14:textId="77777777" w:rsidR="000631A0" w:rsidRPr="00C82B28" w:rsidRDefault="000631A0" w:rsidP="00E875DA">
      <w:r w:rsidRPr="00C82B28">
        <w:t>As stated above, EPA guidance</w:t>
      </w:r>
      <w:r w:rsidR="00083F27">
        <w:rPr>
          <w:rStyle w:val="FootnoteReference"/>
        </w:rPr>
        <w:footnoteReference w:id="13"/>
      </w:r>
      <w:r w:rsidR="00083F27">
        <w:t xml:space="preserve"> </w:t>
      </w:r>
      <w:r w:rsidRPr="00C82B28">
        <w:t>says that the State must be able to reasonably attribute the improvement in air quality to emission reductions that are permanent and enforceable. In making this showing, the State should estimate the percent reduction (from the year that was used to determine the design value) achieved by Federal measures such as motor vehicle control, as well as by control measures that have been adopted and implemented by the State.</w:t>
      </w:r>
    </w:p>
    <w:p w14:paraId="358F6E29" w14:textId="77777777" w:rsidR="00D4578B" w:rsidRPr="00113E09" w:rsidRDefault="00D4578B" w:rsidP="00E875DA">
      <w:r w:rsidRPr="00C82B28">
        <w:t>As mentioned, the ambient air quality data presen</w:t>
      </w:r>
      <w:r w:rsidRPr="00113E09">
        <w:t xml:space="preserve">ted in Subsection </w:t>
      </w:r>
      <w:r w:rsidR="005B6978" w:rsidRPr="00113E09">
        <w:t>IX.A.</w:t>
      </w:r>
      <w:r w:rsidR="00EA6867" w:rsidRPr="00113E09">
        <w:t>36</w:t>
      </w:r>
      <w:r w:rsidRPr="00113E09">
        <w:t>.b(3)(a) includes values prior to the nonattainment designation</w:t>
      </w:r>
      <w:r w:rsidR="007021C4" w:rsidRPr="00113E09">
        <w:t xml:space="preserve"> through 2018 to illustrate the lasting effect of the implemented control strategies.</w:t>
      </w:r>
      <w:r w:rsidR="00304057" w:rsidRPr="00113E09">
        <w:t xml:space="preserve"> </w:t>
      </w:r>
      <w:r w:rsidRPr="00113E09">
        <w:t>In discussing the effect of the controls, as well as the control measures themselves, however, it is important to keep in mind the time necessary for their implementation.</w:t>
      </w:r>
    </w:p>
    <w:p w14:paraId="5A81F602" w14:textId="21669938" w:rsidR="00EA6867" w:rsidRPr="00EA6867" w:rsidRDefault="00EA6867" w:rsidP="00EA6867">
      <w:pPr>
        <w:rPr>
          <w:rFonts w:cs="Times New Roman"/>
        </w:rPr>
      </w:pPr>
      <w:r w:rsidRPr="00113E09">
        <w:rPr>
          <w:rFonts w:cs="Times New Roman"/>
        </w:rPr>
        <w:t xml:space="preserve">The </w:t>
      </w:r>
      <w:r w:rsidR="00981497" w:rsidRPr="00113E09">
        <w:rPr>
          <w:rFonts w:cs="Times New Roman"/>
        </w:rPr>
        <w:t>m</w:t>
      </w:r>
      <w:r w:rsidRPr="00113E09">
        <w:rPr>
          <w:rFonts w:cs="Times New Roman"/>
        </w:rPr>
        <w:t xml:space="preserve">oderate nonattainment SIP for the SLC NAA included a statutory date for the implementation of RACM/RACT of December 31, 2014. Thus, 2015 marked the first year in which RACM/RACT was reflected in the emissions inventories for the SLC NAA. Section 189(c) of the CAA identifies, as a required plan element, quantitative milestones which are to </w:t>
      </w:r>
      <w:r w:rsidRPr="00EA6867">
        <w:rPr>
          <w:rFonts w:cs="Times New Roman"/>
        </w:rPr>
        <w:t xml:space="preserve">be achieved every three years, and which demonstrate reasonable further progress (RFP) toward attainment of the standard by the applicable date. As defined in CAA Section 171(1), the term reasonable further progress </w:t>
      </w:r>
      <w:r w:rsidR="000E021C">
        <w:rPr>
          <w:rFonts w:cs="Times New Roman"/>
        </w:rPr>
        <w:t>means “</w:t>
      </w:r>
      <w:r w:rsidR="000E021C" w:rsidRPr="000E021C">
        <w:rPr>
          <w:rFonts w:cs="Times New Roman"/>
        </w:rPr>
        <w:t xml:space="preserve">such annual incremental reductions in emissions of the relevant air pollutant as are required by this part or may reasonably be required by the Administrator for the purpose of ensuring attainment of the applicable national ambient air quality </w:t>
      </w:r>
      <w:r w:rsidR="000E021C">
        <w:rPr>
          <w:rFonts w:cs="Times New Roman"/>
        </w:rPr>
        <w:t>standard by the applicable date</w:t>
      </w:r>
      <w:r w:rsidRPr="00EA6867">
        <w:rPr>
          <w:rFonts w:cs="Times New Roman"/>
        </w:rPr>
        <w:t>.</w:t>
      </w:r>
      <w:r w:rsidR="000E021C">
        <w:rPr>
          <w:rFonts w:cs="Times New Roman"/>
        </w:rPr>
        <w:t>”</w:t>
      </w:r>
      <w:r w:rsidRPr="00EA6867">
        <w:rPr>
          <w:rFonts w:cs="Times New Roman"/>
        </w:rPr>
        <w:t xml:space="preserve"> Hence, the milestone report must demonstrate that</w:t>
      </w:r>
      <w:r w:rsidR="009F67F4">
        <w:rPr>
          <w:rFonts w:cs="Times New Roman"/>
        </w:rPr>
        <w:t xml:space="preserve"> the control strategy is achieving reasonable progress toward attainment.</w:t>
      </w:r>
    </w:p>
    <w:p w14:paraId="6E7D889F" w14:textId="0ABDE912" w:rsidR="00EA6867" w:rsidRPr="00113E09" w:rsidRDefault="00EA6867" w:rsidP="00EA6867">
      <w:r w:rsidRPr="00113E09">
        <w:rPr>
          <w:rFonts w:cs="Times New Roman"/>
        </w:rPr>
        <w:lastRenderedPageBreak/>
        <w:t xml:space="preserve">The RACM prescribed by the </w:t>
      </w:r>
      <w:r w:rsidR="00981497" w:rsidRPr="00113E09">
        <w:rPr>
          <w:rFonts w:cs="Times New Roman"/>
        </w:rPr>
        <w:t>m</w:t>
      </w:r>
      <w:r w:rsidRPr="00113E09">
        <w:rPr>
          <w:rFonts w:cs="Times New Roman"/>
        </w:rPr>
        <w:t>oderate nonattainment SIP and the subsequent implementation by the State is discussed in more detail in a milestone report submitted for the SLC NAA</w:t>
      </w:r>
      <w:r w:rsidR="00AE49B1" w:rsidRPr="00113E09">
        <w:t xml:space="preserve"> to EPA on March 23, 2018, within the </w:t>
      </w:r>
      <w:r w:rsidR="00FF76F0" w:rsidRPr="00113E09">
        <w:t>90-day</w:t>
      </w:r>
      <w:r w:rsidR="00AE49B1" w:rsidRPr="00113E09">
        <w:t xml:space="preserve"> post-milestone date required by CAA 189(c)(2) and 51.1013(b). On October 24, 2018, EPA sent Governor Gary Herbert a letter stating “The Environmental Protection Agency has determined that the 2017 Quan</w:t>
      </w:r>
      <w:r w:rsidR="00C82B28" w:rsidRPr="00113E09">
        <w:t>titative Milestone Reports are a</w:t>
      </w:r>
      <w:r w:rsidR="00AE49B1" w:rsidRPr="00113E09">
        <w:t>dequate. The basis for this determination is set forth in the enclosures. This determination is based on the EPA’s review of information contained in the Moderate Area Plans and additional information provided in the 2017 Quantitative Milestone Re</w:t>
      </w:r>
      <w:r w:rsidR="00E45F33" w:rsidRPr="00113E09">
        <w:t>ports.” This approval letter is included in the TSD</w:t>
      </w:r>
      <w:r w:rsidR="000E021C" w:rsidRPr="00113E09">
        <w:t xml:space="preserve"> for this SIP submittal</w:t>
      </w:r>
      <w:r w:rsidR="00213EFD" w:rsidRPr="00113E09">
        <w:t xml:space="preserve">. </w:t>
      </w:r>
      <w:r w:rsidRPr="00113E09">
        <w:rPr>
          <w:rFonts w:cs="Times New Roman"/>
        </w:rPr>
        <w:t>Much of the downward trend in the ambient data as seen in Figures IX.</w:t>
      </w:r>
      <w:r w:rsidR="00BD6DFF" w:rsidRPr="00113E09">
        <w:rPr>
          <w:rFonts w:cs="Times New Roman"/>
        </w:rPr>
        <w:t>A.</w:t>
      </w:r>
      <w:r w:rsidRPr="00113E09">
        <w:rPr>
          <w:rFonts w:cs="Times New Roman"/>
        </w:rPr>
        <w:t>36.2 and IX.</w:t>
      </w:r>
      <w:r w:rsidR="00BD6DFF" w:rsidRPr="00113E09">
        <w:rPr>
          <w:rFonts w:cs="Times New Roman"/>
        </w:rPr>
        <w:t>A.</w:t>
      </w:r>
      <w:r w:rsidRPr="00113E09">
        <w:rPr>
          <w:rFonts w:cs="Times New Roman"/>
        </w:rPr>
        <w:t xml:space="preserve">36.3 is attributable to the controls implemented through the </w:t>
      </w:r>
      <w:r w:rsidR="00981497" w:rsidRPr="00113E09">
        <w:rPr>
          <w:rFonts w:cs="Times New Roman"/>
        </w:rPr>
        <w:t>m</w:t>
      </w:r>
      <w:r w:rsidRPr="00113E09">
        <w:rPr>
          <w:rFonts w:cs="Times New Roman"/>
        </w:rPr>
        <w:t>oderate SIP.</w:t>
      </w:r>
    </w:p>
    <w:p w14:paraId="60EF36B8" w14:textId="28F4433B" w:rsidR="00EA6867" w:rsidRPr="00113E09" w:rsidRDefault="00BB3709" w:rsidP="00EA6867">
      <w:pPr>
        <w:rPr>
          <w:rFonts w:cs="Times New Roman"/>
        </w:rPr>
      </w:pPr>
      <w:r w:rsidRPr="00113E09">
        <w:rPr>
          <w:rFonts w:cs="Times New Roman"/>
        </w:rPr>
        <w:t>40 CFR 51.1011 establishes that control measures must be implemented no later than the beginning of the year containing the applicable attainment date, January 1, 2019</w:t>
      </w:r>
      <w:r w:rsidR="003E4B3B" w:rsidRPr="00113E09">
        <w:rPr>
          <w:rFonts w:cs="Times New Roman"/>
        </w:rPr>
        <w:t>,</w:t>
      </w:r>
      <w:r w:rsidRPr="00113E09">
        <w:rPr>
          <w:rFonts w:cs="Times New Roman"/>
        </w:rPr>
        <w:t xml:space="preserve"> for the SLC NAA. Any control measure</w:t>
      </w:r>
      <w:r w:rsidR="00012829" w:rsidRPr="00113E09">
        <w:rPr>
          <w:rFonts w:cs="Times New Roman"/>
        </w:rPr>
        <w:t xml:space="preserve">s </w:t>
      </w:r>
      <w:r w:rsidRPr="00113E09">
        <w:rPr>
          <w:rFonts w:cs="Times New Roman"/>
        </w:rPr>
        <w:t xml:space="preserve">implemented beyond such date are instead regarded as additional feasible measures. </w:t>
      </w:r>
      <w:r w:rsidR="00A82E87" w:rsidRPr="00113E09">
        <w:rPr>
          <w:rFonts w:cs="Times New Roman"/>
        </w:rPr>
        <w:t>Implementation schedules for point source control measures are included in Table IX.A.</w:t>
      </w:r>
      <w:r w:rsidR="00D00540" w:rsidRPr="00113E09">
        <w:rPr>
          <w:rFonts w:cs="Times New Roman"/>
        </w:rPr>
        <w:t>36</w:t>
      </w:r>
      <w:r w:rsidR="00A82E87" w:rsidRPr="00113E09">
        <w:rPr>
          <w:rFonts w:cs="Times New Roman"/>
        </w:rPr>
        <w:t>.5</w:t>
      </w:r>
      <w:r w:rsidRPr="00113E09">
        <w:t>.</w:t>
      </w:r>
      <w:r w:rsidRPr="00113E09">
        <w:rPr>
          <w:rFonts w:cs="Times New Roman"/>
        </w:rPr>
        <w:t xml:space="preserve"> Emission </w:t>
      </w:r>
      <w:r w:rsidR="00EA6867" w:rsidRPr="00113E09">
        <w:rPr>
          <w:rFonts w:cs="Times New Roman"/>
        </w:rPr>
        <w:t>reductions leading to lower ambient values can be observed in Figures IX.</w:t>
      </w:r>
      <w:r w:rsidR="00BD6DFF" w:rsidRPr="00113E09">
        <w:rPr>
          <w:rFonts w:cs="Times New Roman"/>
        </w:rPr>
        <w:t>A.</w:t>
      </w:r>
      <w:r w:rsidR="00EA6867" w:rsidRPr="00113E09">
        <w:rPr>
          <w:rFonts w:cs="Times New Roman"/>
        </w:rPr>
        <w:t>36.2 and IX.</w:t>
      </w:r>
      <w:r w:rsidR="00BD6DFF" w:rsidRPr="00113E09">
        <w:rPr>
          <w:rFonts w:cs="Times New Roman"/>
        </w:rPr>
        <w:t>A.</w:t>
      </w:r>
      <w:r w:rsidR="00EA6867" w:rsidRPr="00113E09">
        <w:rPr>
          <w:rFonts w:cs="Times New Roman"/>
        </w:rPr>
        <w:t xml:space="preserve">36.3, with further improvements expected </w:t>
      </w:r>
      <w:r w:rsidRPr="00113E09">
        <w:rPr>
          <w:rFonts w:cs="Times New Roman"/>
        </w:rPr>
        <w:t xml:space="preserve">beyond 2019 </w:t>
      </w:r>
      <w:r w:rsidR="0008197F" w:rsidRPr="00113E09">
        <w:rPr>
          <w:rFonts w:cs="Times New Roman"/>
        </w:rPr>
        <w:t>as a result of the more stringent BACM/BACT requirements</w:t>
      </w:r>
      <w:r w:rsidR="00EA6867" w:rsidRPr="00113E09">
        <w:rPr>
          <w:rFonts w:cs="Times New Roman"/>
        </w:rPr>
        <w:t xml:space="preserve">. </w:t>
      </w:r>
    </w:p>
    <w:p w14:paraId="54130D87" w14:textId="6EB03339" w:rsidR="00EA6867" w:rsidRPr="00113E09" w:rsidRDefault="00EA6867" w:rsidP="00EA6867">
      <w:pPr>
        <w:rPr>
          <w:rFonts w:cs="Times New Roman"/>
        </w:rPr>
      </w:pPr>
      <w:r w:rsidRPr="00113E09">
        <w:rPr>
          <w:rFonts w:cs="Times New Roman"/>
        </w:rPr>
        <w:t xml:space="preserve">Included in the </w:t>
      </w:r>
      <w:r w:rsidR="00542D13" w:rsidRPr="00113E09">
        <w:rPr>
          <w:rFonts w:cs="Times New Roman"/>
        </w:rPr>
        <w:t>s</w:t>
      </w:r>
      <w:r w:rsidRPr="00113E09">
        <w:rPr>
          <w:rFonts w:cs="Times New Roman"/>
        </w:rPr>
        <w:t>erious SIP for the SLC NAA are additional BACT</w:t>
      </w:r>
      <w:r w:rsidR="004D4B64" w:rsidRPr="00113E09">
        <w:rPr>
          <w:rFonts w:cs="Times New Roman"/>
        </w:rPr>
        <w:t xml:space="preserve"> </w:t>
      </w:r>
      <w:r w:rsidR="00154A25" w:rsidRPr="00113E09">
        <w:rPr>
          <w:rFonts w:cs="Times New Roman"/>
        </w:rPr>
        <w:t>emission limits</w:t>
      </w:r>
      <w:r w:rsidRPr="00113E09">
        <w:rPr>
          <w:rFonts w:cs="Times New Roman"/>
        </w:rPr>
        <w:t xml:space="preserve"> for eight stationary point sources. The changes in these requirements are reflected in Section IX, Part H (Emission Limits and Operating Practices) of the SIP. </w:t>
      </w:r>
    </w:p>
    <w:p w14:paraId="496D29CE" w14:textId="072082EF" w:rsidR="005C0C34" w:rsidRPr="005C0C34" w:rsidRDefault="002701B2" w:rsidP="005C0C34">
      <w:bookmarkStart w:id="38" w:name="_Toc17268995"/>
      <w:r w:rsidRPr="002701B2">
        <w:rPr>
          <w:noProof/>
        </w:rPr>
        <w:lastRenderedPageBreak/>
        <w:drawing>
          <wp:inline distT="0" distB="0" distL="0" distR="0" wp14:anchorId="6544EE5F" wp14:editId="661FB339">
            <wp:extent cx="5943600" cy="73782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378262"/>
                    </a:xfrm>
                    <a:prstGeom prst="rect">
                      <a:avLst/>
                    </a:prstGeom>
                    <a:noFill/>
                    <a:ln>
                      <a:noFill/>
                    </a:ln>
                  </pic:spPr>
                </pic:pic>
              </a:graphicData>
            </a:graphic>
          </wp:inline>
        </w:drawing>
      </w:r>
    </w:p>
    <w:p w14:paraId="79FAE854" w14:textId="0D582409" w:rsidR="00695C2A" w:rsidRPr="00113E09" w:rsidRDefault="00B4218B" w:rsidP="00B4218B">
      <w:pPr>
        <w:pStyle w:val="Caption"/>
        <w:rPr>
          <w:color w:val="auto"/>
        </w:rPr>
      </w:pPr>
      <w:r w:rsidRPr="00113E09">
        <w:rPr>
          <w:color w:val="auto"/>
        </w:rPr>
        <w:t xml:space="preserve">Table IX.A.36. </w:t>
      </w:r>
      <w:r w:rsidR="00767843" w:rsidRPr="00113E09">
        <w:rPr>
          <w:color w:val="auto"/>
        </w:rPr>
        <w:fldChar w:fldCharType="begin"/>
      </w:r>
      <w:r w:rsidR="00767843" w:rsidRPr="00113E09">
        <w:rPr>
          <w:color w:val="auto"/>
        </w:rPr>
        <w:instrText xml:space="preserve"> SEQ Table_IX.A.36. \* ARABIC </w:instrText>
      </w:r>
      <w:r w:rsidR="00767843" w:rsidRPr="00113E09">
        <w:rPr>
          <w:color w:val="auto"/>
        </w:rPr>
        <w:fldChar w:fldCharType="separate"/>
      </w:r>
      <w:r w:rsidR="00767843">
        <w:rPr>
          <w:noProof/>
          <w:color w:val="auto"/>
        </w:rPr>
        <w:t>5</w:t>
      </w:r>
      <w:r w:rsidR="00767843" w:rsidRPr="00113E09">
        <w:rPr>
          <w:noProof/>
          <w:color w:val="auto"/>
        </w:rPr>
        <w:fldChar w:fldCharType="end"/>
      </w:r>
      <w:r w:rsidRPr="00113E09">
        <w:rPr>
          <w:color w:val="auto"/>
        </w:rPr>
        <w:t xml:space="preserve"> Point Source Emission Control Measure Implementation Schedule and Compliance Mechanism</w:t>
      </w:r>
      <w:bookmarkEnd w:id="38"/>
    </w:p>
    <w:p w14:paraId="5A7610CC" w14:textId="77777777" w:rsidR="000B22FA" w:rsidRDefault="000B22FA" w:rsidP="00E875DA"/>
    <w:p w14:paraId="7E6F4875" w14:textId="7A6AC594" w:rsidR="000B22FA" w:rsidRPr="000B22FA" w:rsidRDefault="000B22FA" w:rsidP="000B22FA">
      <w:pPr>
        <w:rPr>
          <w:rFonts w:cs="Times New Roman"/>
          <w:color w:val="0070C0"/>
        </w:rPr>
      </w:pPr>
      <w:r w:rsidRPr="000B22FA">
        <w:rPr>
          <w:rFonts w:cs="Times New Roman"/>
        </w:rPr>
        <w:lastRenderedPageBreak/>
        <w:t xml:space="preserve">As part of the Utah </w:t>
      </w:r>
      <w:r w:rsidR="00981497">
        <w:rPr>
          <w:rFonts w:cs="Times New Roman"/>
        </w:rPr>
        <w:t>m</w:t>
      </w:r>
      <w:r w:rsidRPr="000B22FA">
        <w:rPr>
          <w:rFonts w:cs="Times New Roman"/>
        </w:rPr>
        <w:t>oderate SIPs, 24 area source rules were either introduced or augmented to control PM</w:t>
      </w:r>
      <w:r w:rsidRPr="000B22FA">
        <w:rPr>
          <w:rFonts w:cs="Times New Roman"/>
          <w:vertAlign w:val="subscript"/>
        </w:rPr>
        <w:t>2.5</w:t>
      </w:r>
      <w:r w:rsidRPr="000B22FA">
        <w:rPr>
          <w:rFonts w:cs="Times New Roman"/>
        </w:rPr>
        <w:t xml:space="preserve"> and PM</w:t>
      </w:r>
      <w:r w:rsidRPr="000B22FA">
        <w:rPr>
          <w:rFonts w:cs="Times New Roman"/>
          <w:vertAlign w:val="subscript"/>
        </w:rPr>
        <w:t>2.5</w:t>
      </w:r>
      <w:r w:rsidRPr="000B22FA">
        <w:rPr>
          <w:rFonts w:cs="Times New Roman"/>
        </w:rPr>
        <w:t xml:space="preserve"> precursors. For the </w:t>
      </w:r>
      <w:r w:rsidR="00542D13">
        <w:rPr>
          <w:rFonts w:cs="Times New Roman"/>
        </w:rPr>
        <w:t>s</w:t>
      </w:r>
      <w:r w:rsidRPr="000B22FA">
        <w:rPr>
          <w:rFonts w:cs="Times New Roman"/>
        </w:rPr>
        <w:t xml:space="preserve">erious SIP area source BACM review, each of UDAQ’s existing area source rules were re-evaluated to ensure that all appropriate source categories were addressed in rulemaking and that the level of control required is consistent with BACM. For newly identified controls or enhancement of existing controls, an evaluation was made to determine technological and economic feasibility. The BACM review resulted in revisions to 13 different area source rules which affect surface coating (for a variety of </w:t>
      </w:r>
      <w:r w:rsidRPr="00113E09">
        <w:rPr>
          <w:rFonts w:cs="Times New Roman"/>
        </w:rPr>
        <w:t>different surfaces), graphic arts, and aerospace manufacture &amp; rework facilities. The rules and amendments are listed in Table IX.</w:t>
      </w:r>
      <w:r w:rsidR="00BA779B" w:rsidRPr="00113E09">
        <w:rPr>
          <w:rFonts w:cs="Times New Roman"/>
        </w:rPr>
        <w:t>A.</w:t>
      </w:r>
      <w:r w:rsidRPr="00113E09">
        <w:rPr>
          <w:rFonts w:cs="Times New Roman"/>
        </w:rPr>
        <w:t>36.</w:t>
      </w:r>
      <w:r w:rsidR="0099516A" w:rsidRPr="00113E09">
        <w:rPr>
          <w:rFonts w:cs="Times New Roman"/>
        </w:rPr>
        <w:t>4. Table IX.</w:t>
      </w:r>
      <w:r w:rsidR="00E33AF0" w:rsidRPr="00113E09">
        <w:rPr>
          <w:rFonts w:cs="Times New Roman"/>
        </w:rPr>
        <w:t>A.</w:t>
      </w:r>
      <w:r w:rsidR="0099516A" w:rsidRPr="00113E09">
        <w:rPr>
          <w:rFonts w:cs="Times New Roman"/>
        </w:rPr>
        <w:t>36.6</w:t>
      </w:r>
      <w:r w:rsidRPr="00113E09">
        <w:rPr>
          <w:rFonts w:cs="Times New Roman"/>
        </w:rPr>
        <w:t xml:space="preserve"> shows the effectiveness of the area source rules within the SLC NAA.</w:t>
      </w:r>
    </w:p>
    <w:p w14:paraId="0E3BB55B" w14:textId="29643B3F" w:rsidR="000B22FA" w:rsidRPr="000B22FA" w:rsidRDefault="00085643" w:rsidP="000B22FA">
      <w:pPr>
        <w:rPr>
          <w:rFonts w:cs="Times New Roman"/>
        </w:rPr>
      </w:pPr>
      <w:r w:rsidRPr="00085643">
        <w:rPr>
          <w:noProof/>
        </w:rPr>
        <w:drawing>
          <wp:inline distT="0" distB="0" distL="0" distR="0" wp14:anchorId="0F1FA56D" wp14:editId="54DD9169">
            <wp:extent cx="5943600" cy="465989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659897"/>
                    </a:xfrm>
                    <a:prstGeom prst="rect">
                      <a:avLst/>
                    </a:prstGeom>
                    <a:noFill/>
                    <a:ln>
                      <a:noFill/>
                    </a:ln>
                  </pic:spPr>
                </pic:pic>
              </a:graphicData>
            </a:graphic>
          </wp:inline>
        </w:drawing>
      </w:r>
    </w:p>
    <w:p w14:paraId="2FAF14D7" w14:textId="24020ABA" w:rsidR="00B4218B" w:rsidRDefault="00085643" w:rsidP="00B4218B">
      <w:pPr>
        <w:keepNext/>
      </w:pPr>
      <w:r w:rsidRPr="00085643">
        <w:rPr>
          <w:noProof/>
        </w:rPr>
        <w:lastRenderedPageBreak/>
        <w:drawing>
          <wp:inline distT="0" distB="0" distL="0" distR="0" wp14:anchorId="6DD88900" wp14:editId="36AFFA41">
            <wp:extent cx="5943600" cy="4659897"/>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659897"/>
                    </a:xfrm>
                    <a:prstGeom prst="rect">
                      <a:avLst/>
                    </a:prstGeom>
                    <a:noFill/>
                    <a:ln>
                      <a:noFill/>
                    </a:ln>
                  </pic:spPr>
                </pic:pic>
              </a:graphicData>
            </a:graphic>
          </wp:inline>
        </w:drawing>
      </w:r>
    </w:p>
    <w:p w14:paraId="23A9197C" w14:textId="1FF66D54" w:rsidR="00D63AD8" w:rsidRPr="00113E09" w:rsidRDefault="00B4218B" w:rsidP="00B4218B">
      <w:pPr>
        <w:pStyle w:val="Caption"/>
        <w:rPr>
          <w:color w:val="auto"/>
        </w:rPr>
      </w:pPr>
      <w:bookmarkStart w:id="39" w:name="_Toc17268996"/>
      <w:r w:rsidRPr="00113E09">
        <w:rPr>
          <w:color w:val="auto"/>
        </w:rPr>
        <w:t xml:space="preserve">Table IX.A.36. </w:t>
      </w:r>
      <w:r w:rsidR="00767843" w:rsidRPr="00113E09">
        <w:rPr>
          <w:color w:val="auto"/>
        </w:rPr>
        <w:fldChar w:fldCharType="begin"/>
      </w:r>
      <w:r w:rsidR="00767843" w:rsidRPr="00113E09">
        <w:rPr>
          <w:color w:val="auto"/>
        </w:rPr>
        <w:instrText xml:space="preserve"> S</w:instrText>
      </w:r>
      <w:r w:rsidR="00767843" w:rsidRPr="00113E09">
        <w:rPr>
          <w:color w:val="auto"/>
        </w:rPr>
        <w:instrText xml:space="preserve">EQ Table_IX.A.36. \* ARABIC </w:instrText>
      </w:r>
      <w:r w:rsidR="00767843" w:rsidRPr="00113E09">
        <w:rPr>
          <w:color w:val="auto"/>
        </w:rPr>
        <w:fldChar w:fldCharType="separate"/>
      </w:r>
      <w:r w:rsidR="00767843">
        <w:rPr>
          <w:noProof/>
          <w:color w:val="auto"/>
        </w:rPr>
        <w:t>6</w:t>
      </w:r>
      <w:r w:rsidR="00767843" w:rsidRPr="00113E09">
        <w:rPr>
          <w:noProof/>
          <w:color w:val="auto"/>
        </w:rPr>
        <w:fldChar w:fldCharType="end"/>
      </w:r>
      <w:r w:rsidRPr="00113E09">
        <w:rPr>
          <w:color w:val="auto"/>
        </w:rPr>
        <w:t xml:space="preserve"> Area Source Rule Emissions Reduction in SLC NAA</w:t>
      </w:r>
      <w:bookmarkEnd w:id="39"/>
    </w:p>
    <w:p w14:paraId="6F94C746" w14:textId="77777777" w:rsidR="00B4218B" w:rsidRDefault="00B4218B" w:rsidP="000B22FA">
      <w:pPr>
        <w:rPr>
          <w:rFonts w:cs="Times New Roman"/>
        </w:rPr>
      </w:pPr>
    </w:p>
    <w:p w14:paraId="10DF97A3" w14:textId="400C447E" w:rsidR="007C606B" w:rsidRPr="007C606B" w:rsidRDefault="007C606B" w:rsidP="000B22FA">
      <w:pPr>
        <w:rPr>
          <w:rFonts w:cs="Times New Roman"/>
        </w:rPr>
      </w:pPr>
      <w:r w:rsidRPr="007C606B">
        <w:rPr>
          <w:rFonts w:cs="Times New Roman"/>
        </w:rPr>
        <w:t>In reality, the NAAs should expect to see continued improvement in the next five to ten years as a result of the phase-in period of a number of the area source rules</w:t>
      </w:r>
      <w:r w:rsidR="005622D8">
        <w:rPr>
          <w:rFonts w:cs="Times New Roman"/>
        </w:rPr>
        <w:t xml:space="preserve"> and some additional feasible measures installed at point sources</w:t>
      </w:r>
      <w:r w:rsidRPr="007C606B">
        <w:rPr>
          <w:rFonts w:cs="Times New Roman"/>
        </w:rPr>
        <w:t>. For example, the gas-fired water heater rule R307-230 requires</w:t>
      </w:r>
      <w:r w:rsidR="00154A25">
        <w:rPr>
          <w:rFonts w:cs="Times New Roman"/>
        </w:rPr>
        <w:t xml:space="preserve"> that</w:t>
      </w:r>
      <w:r w:rsidRPr="007C606B">
        <w:rPr>
          <w:rFonts w:cs="Times New Roman"/>
        </w:rPr>
        <w:t xml:space="preserve"> only ultra-low NOx gas-fired water heaters be sold or installed after July 1, 2018</w:t>
      </w:r>
      <w:r w:rsidR="00154A25">
        <w:rPr>
          <w:rFonts w:cs="Times New Roman"/>
        </w:rPr>
        <w:t>, but i</w:t>
      </w:r>
      <w:r w:rsidRPr="007C606B">
        <w:rPr>
          <w:rFonts w:cs="Times New Roman"/>
        </w:rPr>
        <w:t xml:space="preserve">t takes years </w:t>
      </w:r>
      <w:r w:rsidR="004E6E7C">
        <w:rPr>
          <w:rFonts w:cs="Times New Roman"/>
        </w:rPr>
        <w:t xml:space="preserve">for </w:t>
      </w:r>
      <w:r w:rsidRPr="007C606B">
        <w:rPr>
          <w:rFonts w:cs="Times New Roman"/>
        </w:rPr>
        <w:t xml:space="preserve">water heater turnover to occur. In addition, the 13 rules that were revised during the serious SIP BACM review were implemented at the state level in 2018 and have a </w:t>
      </w:r>
      <w:r w:rsidR="00085643" w:rsidRPr="007C606B">
        <w:rPr>
          <w:rFonts w:cs="Times New Roman"/>
        </w:rPr>
        <w:t>five-year</w:t>
      </w:r>
      <w:r w:rsidRPr="007C606B">
        <w:rPr>
          <w:rFonts w:cs="Times New Roman"/>
        </w:rPr>
        <w:t xml:space="preserve"> phase-in period, resulting in full emission reduction by 2023. Therefore, additional emissions reductions will be seen. These phase-in periods were </w:t>
      </w:r>
      <w:r w:rsidR="00085643" w:rsidRPr="007C606B">
        <w:rPr>
          <w:rFonts w:cs="Times New Roman"/>
        </w:rPr>
        <w:t>considered</w:t>
      </w:r>
      <w:r w:rsidRPr="007C606B">
        <w:rPr>
          <w:rFonts w:cs="Times New Roman"/>
        </w:rPr>
        <w:t xml:space="preserve"> in the inventories used for modeling in this SIP. </w:t>
      </w:r>
    </w:p>
    <w:p w14:paraId="4A88DE8C" w14:textId="171C1032" w:rsidR="000B22FA" w:rsidRPr="00B60223" w:rsidRDefault="000B22FA" w:rsidP="000B22FA">
      <w:pPr>
        <w:rPr>
          <w:rFonts w:cs="Times New Roman"/>
        </w:rPr>
      </w:pPr>
      <w:r w:rsidRPr="00B60223">
        <w:rPr>
          <w:rFonts w:cs="Times New Roman"/>
        </w:rPr>
        <w:t>Existing controls not implemented through the SIP process also affect the emission rates from non-stationary source categories. The federal motor vehicle control program has been one of the most significant control strategi</w:t>
      </w:r>
      <w:r w:rsidR="00435833" w:rsidRPr="00B60223">
        <w:rPr>
          <w:rFonts w:cs="Times New Roman"/>
        </w:rPr>
        <w:t>es affecting emissions that produce</w:t>
      </w:r>
      <w:r w:rsidRPr="00B60223">
        <w:rPr>
          <w:rFonts w:cs="Times New Roman"/>
        </w:rPr>
        <w:t xml:space="preserve"> PM</w:t>
      </w:r>
      <w:r w:rsidRPr="00B60223">
        <w:rPr>
          <w:rFonts w:cs="Times New Roman"/>
          <w:vertAlign w:val="subscript"/>
        </w:rPr>
        <w:t>2.5</w:t>
      </w:r>
      <w:r w:rsidRPr="00B60223">
        <w:rPr>
          <w:rFonts w:cs="Times New Roman"/>
        </w:rPr>
        <w:t>. Tier 1 and 2 standards were implemented by 1997 and 2008 respectively</w:t>
      </w:r>
      <w:r w:rsidR="006376B8" w:rsidRPr="00B60223">
        <w:rPr>
          <w:rFonts w:cs="Times New Roman"/>
        </w:rPr>
        <w:t>. T</w:t>
      </w:r>
      <w:r w:rsidR="005F525D" w:rsidRPr="00B60223">
        <w:rPr>
          <w:rFonts w:cs="Times New Roman"/>
        </w:rPr>
        <w:t xml:space="preserve">ier 3 </w:t>
      </w:r>
      <w:r w:rsidR="006376B8" w:rsidRPr="00B60223">
        <w:rPr>
          <w:rFonts w:cs="Times New Roman"/>
        </w:rPr>
        <w:t xml:space="preserve">vehicle/engine standards were initiated with new vehicles coming to market in 2017 (25% of new sales) with full phase in by 2021 (100% of new sales). For gasoline, the five Wasatch Front refineries and the Sinclair refinery in Wyoming that also supplies </w:t>
      </w:r>
      <w:r w:rsidR="006376B8" w:rsidRPr="00B60223">
        <w:rPr>
          <w:rFonts w:cs="Times New Roman"/>
        </w:rPr>
        <w:lastRenderedPageBreak/>
        <w:t>gasoline to the Wasatch Front market</w:t>
      </w:r>
      <w:r w:rsidR="003B5788" w:rsidRPr="00B60223">
        <w:rPr>
          <w:rFonts w:cs="Times New Roman"/>
        </w:rPr>
        <w:t>,</w:t>
      </w:r>
      <w:r w:rsidR="006376B8" w:rsidRPr="00B60223">
        <w:rPr>
          <w:rFonts w:cs="Times New Roman"/>
        </w:rPr>
        <w:t xml:space="preserve"> are considered small refineries by EPA’s rule. As such, these refineries have a tier 3 delayed implementation date of January 1, 2020 to produce a tier 3 (10 ppm sulfur) gasoline product or produce a gasoline product (greater than 10 ppm sulfur) with compensating sulfur credits. </w:t>
      </w:r>
      <w:r w:rsidRPr="00B60223">
        <w:rPr>
          <w:rFonts w:cs="Times New Roman"/>
        </w:rPr>
        <w:t>Similarly, the Heavy-Duty Engine and Vehicle Standards took effect in 2007 and were fully phased in by 2010. Air quality benefits, particularly those stemming from the</w:t>
      </w:r>
      <w:r w:rsidR="005645AE" w:rsidRPr="00B60223">
        <w:rPr>
          <w:rFonts w:cs="Times New Roman"/>
        </w:rPr>
        <w:t xml:space="preserve"> light-duty</w:t>
      </w:r>
      <w:r w:rsidRPr="00B60223">
        <w:rPr>
          <w:rFonts w:cs="Times New Roman"/>
        </w:rPr>
        <w:t xml:space="preserve"> and heavy-duty vehicle standards, continue to be realized as older, higher-polluting vehicles are replaced by newer, cleaner vehicles. </w:t>
      </w:r>
    </w:p>
    <w:p w14:paraId="7FCE8423" w14:textId="67E407B6" w:rsidR="000B22FA" w:rsidRPr="00113E09" w:rsidRDefault="000B22FA" w:rsidP="000B22FA">
      <w:pPr>
        <w:rPr>
          <w:rFonts w:cs="Times New Roman"/>
        </w:rPr>
      </w:pPr>
      <w:r w:rsidRPr="00113E09">
        <w:rPr>
          <w:rFonts w:cs="Times New Roman"/>
        </w:rPr>
        <w:t>To supplement the federal motor vehicle control program, I</w:t>
      </w:r>
      <w:r w:rsidR="006E667D" w:rsidRPr="00113E09">
        <w:rPr>
          <w:rFonts w:cs="Times New Roman"/>
        </w:rPr>
        <w:t xml:space="preserve">nspection and Maintenance </w:t>
      </w:r>
      <w:r w:rsidRPr="00113E09">
        <w:rPr>
          <w:rFonts w:cs="Times New Roman"/>
        </w:rPr>
        <w:t xml:space="preserve">Programs were implemented in Salt Lake, Davis, and Weber Counties.  These programs have been effective in identifying vehicles that no longer meet the emission </w:t>
      </w:r>
      <w:r w:rsidR="00792B38" w:rsidRPr="00113E09">
        <w:rPr>
          <w:rFonts w:cs="Times New Roman"/>
        </w:rPr>
        <w:t>standards</w:t>
      </w:r>
      <w:r w:rsidR="00113E09">
        <w:rPr>
          <w:rFonts w:cs="Times New Roman"/>
        </w:rPr>
        <w:t xml:space="preserve"> </w:t>
      </w:r>
      <w:r w:rsidRPr="00113E09">
        <w:rPr>
          <w:rFonts w:cs="Times New Roman"/>
        </w:rPr>
        <w:t xml:space="preserve">for their respective makes and models and in ensuring that those vehicles are repaired in a timely manner. </w:t>
      </w:r>
    </w:p>
    <w:p w14:paraId="30B02668" w14:textId="0F7A430C" w:rsidR="000B22FA" w:rsidRPr="00113E09" w:rsidRDefault="000B22FA" w:rsidP="000B22FA">
      <w:pPr>
        <w:rPr>
          <w:rFonts w:cs="Times New Roman"/>
        </w:rPr>
      </w:pPr>
      <w:r w:rsidRPr="00113E09">
        <w:rPr>
          <w:rFonts w:cs="Times New Roman"/>
        </w:rPr>
        <w:t xml:space="preserve">Emissions from non-road mobile emission sources also benefit from several significant regulatory programs enacted at the federal level.  This category of emitters includes airplanes, locomotives, hand-held engines, and larger portable engines such as generators and construction equipment.  The effectiveness of these controls has been incorporated into the “NONROAD” model UDAQ uses to compile the inventory information for this source category. </w:t>
      </w:r>
    </w:p>
    <w:tbl>
      <w:tblPr>
        <w:tblW w:w="7233" w:type="dxa"/>
        <w:tblInd w:w="108" w:type="dxa"/>
        <w:tblLook w:val="04A0" w:firstRow="1" w:lastRow="0" w:firstColumn="1" w:lastColumn="0" w:noHBand="0" w:noVBand="1"/>
      </w:tblPr>
      <w:tblGrid>
        <w:gridCol w:w="1580"/>
        <w:gridCol w:w="382"/>
        <w:gridCol w:w="1271"/>
        <w:gridCol w:w="974"/>
        <w:gridCol w:w="974"/>
        <w:gridCol w:w="974"/>
        <w:gridCol w:w="1078"/>
      </w:tblGrid>
      <w:tr w:rsidR="00113E09" w:rsidRPr="00113E09" w14:paraId="3BE6E799" w14:textId="77777777" w:rsidTr="001F7306">
        <w:trPr>
          <w:trHeight w:val="300"/>
        </w:trPr>
        <w:tc>
          <w:tcPr>
            <w:tcW w:w="7233" w:type="dxa"/>
            <w:gridSpan w:val="7"/>
            <w:tcBorders>
              <w:top w:val="nil"/>
              <w:left w:val="nil"/>
              <w:bottom w:val="nil"/>
              <w:right w:val="nil"/>
            </w:tcBorders>
            <w:shd w:val="clear" w:color="000000" w:fill="D9D9D9"/>
            <w:noWrap/>
            <w:vAlign w:val="bottom"/>
            <w:hideMark/>
          </w:tcPr>
          <w:p w14:paraId="5363EF79" w14:textId="77777777" w:rsidR="003D6DD2" w:rsidRPr="00113E09" w:rsidRDefault="003D6DD2" w:rsidP="003D6DD2">
            <w:pPr>
              <w:spacing w:after="0" w:line="240" w:lineRule="auto"/>
              <w:rPr>
                <w:rFonts w:ascii="Calibri" w:eastAsia="Times New Roman" w:hAnsi="Calibri" w:cs="Calibri"/>
                <w:b/>
                <w:bCs/>
              </w:rPr>
            </w:pPr>
            <w:r w:rsidRPr="00113E09">
              <w:rPr>
                <w:rFonts w:ascii="Calibri" w:eastAsia="Times New Roman" w:hAnsi="Calibri" w:cs="Calibri"/>
                <w:b/>
                <w:bCs/>
              </w:rPr>
              <w:t>SLC NAA</w:t>
            </w:r>
          </w:p>
        </w:tc>
      </w:tr>
      <w:tr w:rsidR="00113E09" w:rsidRPr="00113E09" w14:paraId="566DAE62" w14:textId="77777777" w:rsidTr="001F7306">
        <w:trPr>
          <w:trHeight w:val="300"/>
        </w:trPr>
        <w:tc>
          <w:tcPr>
            <w:tcW w:w="1962" w:type="dxa"/>
            <w:gridSpan w:val="2"/>
            <w:tcBorders>
              <w:top w:val="nil"/>
              <w:left w:val="nil"/>
              <w:bottom w:val="nil"/>
              <w:right w:val="nil"/>
            </w:tcBorders>
            <w:shd w:val="clear" w:color="000000" w:fill="D9D9D9"/>
            <w:noWrap/>
            <w:vAlign w:val="bottom"/>
            <w:hideMark/>
          </w:tcPr>
          <w:p w14:paraId="244FAEFA" w14:textId="77777777" w:rsidR="003D6DD2" w:rsidRPr="00113E09" w:rsidRDefault="003D6DD2" w:rsidP="003D6DD2">
            <w:pPr>
              <w:spacing w:after="0" w:line="240" w:lineRule="auto"/>
              <w:rPr>
                <w:rFonts w:ascii="Calibri" w:eastAsia="Times New Roman" w:hAnsi="Calibri" w:cs="Calibri"/>
                <w:b/>
                <w:bCs/>
              </w:rPr>
            </w:pPr>
            <w:r w:rsidRPr="00113E09">
              <w:rPr>
                <w:rFonts w:ascii="Calibri" w:eastAsia="Times New Roman" w:hAnsi="Calibri" w:cs="Calibri"/>
                <w:b/>
                <w:bCs/>
              </w:rPr>
              <w:t>*Emissions by Year</w:t>
            </w:r>
          </w:p>
        </w:tc>
        <w:tc>
          <w:tcPr>
            <w:tcW w:w="1271" w:type="dxa"/>
            <w:tcBorders>
              <w:top w:val="nil"/>
              <w:left w:val="nil"/>
              <w:bottom w:val="nil"/>
              <w:right w:val="nil"/>
            </w:tcBorders>
            <w:shd w:val="clear" w:color="000000" w:fill="D9D9D9"/>
            <w:noWrap/>
            <w:vAlign w:val="bottom"/>
            <w:hideMark/>
          </w:tcPr>
          <w:p w14:paraId="1FF870DC" w14:textId="77777777" w:rsidR="003D6DD2" w:rsidRPr="00113E09" w:rsidRDefault="003D6DD2" w:rsidP="003D6DD2">
            <w:pPr>
              <w:spacing w:after="0" w:line="240" w:lineRule="auto"/>
              <w:jc w:val="center"/>
              <w:rPr>
                <w:rFonts w:ascii="Calibri" w:eastAsia="Times New Roman" w:hAnsi="Calibri" w:cs="Calibri"/>
                <w:b/>
                <w:bCs/>
              </w:rPr>
            </w:pPr>
            <w:r w:rsidRPr="00113E09">
              <w:rPr>
                <w:rFonts w:ascii="Calibri" w:eastAsia="Times New Roman" w:hAnsi="Calibri" w:cs="Calibri"/>
                <w:b/>
                <w:bCs/>
              </w:rPr>
              <w:t>Base Yr.</w:t>
            </w:r>
          </w:p>
        </w:tc>
        <w:tc>
          <w:tcPr>
            <w:tcW w:w="4000" w:type="dxa"/>
            <w:gridSpan w:val="4"/>
            <w:tcBorders>
              <w:top w:val="nil"/>
              <w:left w:val="nil"/>
              <w:bottom w:val="nil"/>
              <w:right w:val="nil"/>
            </w:tcBorders>
            <w:shd w:val="clear" w:color="000000" w:fill="D9D9D9"/>
            <w:noWrap/>
            <w:vAlign w:val="bottom"/>
            <w:hideMark/>
          </w:tcPr>
          <w:p w14:paraId="190E58B4" w14:textId="77777777" w:rsidR="003D6DD2" w:rsidRPr="00113E09" w:rsidRDefault="003D6DD2" w:rsidP="003D6DD2">
            <w:pPr>
              <w:spacing w:after="0" w:line="240" w:lineRule="auto"/>
              <w:rPr>
                <w:rFonts w:ascii="Calibri" w:eastAsia="Times New Roman" w:hAnsi="Calibri" w:cs="Calibri"/>
                <w:b/>
                <w:bCs/>
              </w:rPr>
            </w:pPr>
            <w:r w:rsidRPr="00113E09">
              <w:rPr>
                <w:rFonts w:ascii="Calibri" w:eastAsia="Times New Roman" w:hAnsi="Calibri" w:cs="Calibri"/>
                <w:b/>
                <w:bCs/>
              </w:rPr>
              <w:t>Projection Years with Growth &amp; Controls</w:t>
            </w:r>
          </w:p>
        </w:tc>
      </w:tr>
      <w:tr w:rsidR="00113E09" w:rsidRPr="00113E09" w14:paraId="03A52E43" w14:textId="77777777" w:rsidTr="001F7306">
        <w:trPr>
          <w:trHeight w:val="300"/>
        </w:trPr>
        <w:tc>
          <w:tcPr>
            <w:tcW w:w="1580" w:type="dxa"/>
            <w:tcBorders>
              <w:top w:val="single" w:sz="4" w:space="0" w:color="auto"/>
              <w:left w:val="nil"/>
              <w:bottom w:val="single" w:sz="4" w:space="0" w:color="auto"/>
              <w:right w:val="nil"/>
            </w:tcBorders>
            <w:shd w:val="clear" w:color="auto" w:fill="auto"/>
            <w:noWrap/>
            <w:vAlign w:val="bottom"/>
            <w:hideMark/>
          </w:tcPr>
          <w:p w14:paraId="48C7B9E5" w14:textId="77777777" w:rsidR="003D6DD2" w:rsidRPr="00113E09" w:rsidRDefault="003D6DD2" w:rsidP="003D6DD2">
            <w:pPr>
              <w:spacing w:after="0" w:line="240" w:lineRule="auto"/>
              <w:rPr>
                <w:rFonts w:ascii="Calibri" w:eastAsia="Times New Roman" w:hAnsi="Calibri" w:cs="Calibri"/>
                <w:b/>
                <w:bCs/>
              </w:rPr>
            </w:pPr>
            <w:r w:rsidRPr="00113E09">
              <w:rPr>
                <w:rFonts w:ascii="Calibri" w:eastAsia="Times New Roman" w:hAnsi="Calibri" w:cs="Calibri"/>
                <w:b/>
                <w:bCs/>
              </w:rPr>
              <w:t> </w:t>
            </w:r>
          </w:p>
        </w:tc>
        <w:tc>
          <w:tcPr>
            <w:tcW w:w="382" w:type="dxa"/>
            <w:tcBorders>
              <w:top w:val="single" w:sz="4" w:space="0" w:color="auto"/>
              <w:left w:val="nil"/>
              <w:bottom w:val="single" w:sz="4" w:space="0" w:color="auto"/>
              <w:right w:val="nil"/>
            </w:tcBorders>
            <w:shd w:val="clear" w:color="auto" w:fill="auto"/>
            <w:noWrap/>
            <w:vAlign w:val="bottom"/>
            <w:hideMark/>
          </w:tcPr>
          <w:p w14:paraId="31336D4B" w14:textId="77777777" w:rsidR="003D6DD2" w:rsidRPr="00113E09" w:rsidRDefault="003D6DD2" w:rsidP="003D6DD2">
            <w:pPr>
              <w:spacing w:after="0" w:line="240" w:lineRule="auto"/>
              <w:rPr>
                <w:rFonts w:ascii="Calibri" w:eastAsia="Times New Roman" w:hAnsi="Calibri" w:cs="Calibri"/>
              </w:rPr>
            </w:pPr>
            <w:r w:rsidRPr="00113E09">
              <w:rPr>
                <w:rFonts w:ascii="Calibri" w:eastAsia="Times New Roman" w:hAnsi="Calibri" w:cs="Calibri"/>
              </w:rPr>
              <w:t> </w:t>
            </w:r>
          </w:p>
        </w:tc>
        <w:tc>
          <w:tcPr>
            <w:tcW w:w="1271" w:type="dxa"/>
            <w:tcBorders>
              <w:top w:val="single" w:sz="4" w:space="0" w:color="auto"/>
              <w:left w:val="nil"/>
              <w:bottom w:val="single" w:sz="4" w:space="0" w:color="auto"/>
              <w:right w:val="nil"/>
            </w:tcBorders>
            <w:shd w:val="clear" w:color="auto" w:fill="auto"/>
            <w:noWrap/>
            <w:vAlign w:val="bottom"/>
            <w:hideMark/>
          </w:tcPr>
          <w:p w14:paraId="1CF4ADB1" w14:textId="77777777" w:rsidR="003D6DD2" w:rsidRPr="00113E09" w:rsidRDefault="003D6DD2" w:rsidP="003D6DD2">
            <w:pPr>
              <w:spacing w:after="0" w:line="240" w:lineRule="auto"/>
              <w:jc w:val="center"/>
              <w:rPr>
                <w:rFonts w:ascii="Calibri" w:eastAsia="Times New Roman" w:hAnsi="Calibri" w:cs="Calibri"/>
                <w:b/>
                <w:bCs/>
              </w:rPr>
            </w:pPr>
            <w:r w:rsidRPr="00113E09">
              <w:rPr>
                <w:rFonts w:ascii="Calibri" w:eastAsia="Times New Roman" w:hAnsi="Calibri" w:cs="Calibri"/>
                <w:b/>
                <w:bCs/>
              </w:rPr>
              <w:t>2016</w:t>
            </w:r>
          </w:p>
        </w:tc>
        <w:tc>
          <w:tcPr>
            <w:tcW w:w="974" w:type="dxa"/>
            <w:tcBorders>
              <w:top w:val="single" w:sz="4" w:space="0" w:color="auto"/>
              <w:left w:val="nil"/>
              <w:bottom w:val="single" w:sz="4" w:space="0" w:color="auto"/>
              <w:right w:val="nil"/>
            </w:tcBorders>
            <w:shd w:val="clear" w:color="auto" w:fill="auto"/>
            <w:noWrap/>
            <w:vAlign w:val="bottom"/>
            <w:hideMark/>
          </w:tcPr>
          <w:p w14:paraId="71B811CD" w14:textId="77777777" w:rsidR="003D6DD2" w:rsidRPr="00113E09" w:rsidRDefault="003D6DD2" w:rsidP="003D6DD2">
            <w:pPr>
              <w:spacing w:after="0" w:line="240" w:lineRule="auto"/>
              <w:jc w:val="center"/>
              <w:rPr>
                <w:rFonts w:ascii="Calibri" w:eastAsia="Times New Roman" w:hAnsi="Calibri" w:cs="Calibri"/>
                <w:b/>
                <w:bCs/>
              </w:rPr>
            </w:pPr>
            <w:r w:rsidRPr="00113E09">
              <w:rPr>
                <w:rFonts w:ascii="Calibri" w:eastAsia="Times New Roman" w:hAnsi="Calibri" w:cs="Calibri"/>
                <w:b/>
                <w:bCs/>
              </w:rPr>
              <w:t>2017</w:t>
            </w:r>
          </w:p>
        </w:tc>
        <w:tc>
          <w:tcPr>
            <w:tcW w:w="974" w:type="dxa"/>
            <w:tcBorders>
              <w:top w:val="single" w:sz="4" w:space="0" w:color="auto"/>
              <w:left w:val="nil"/>
              <w:bottom w:val="single" w:sz="4" w:space="0" w:color="auto"/>
              <w:right w:val="nil"/>
            </w:tcBorders>
            <w:shd w:val="clear" w:color="auto" w:fill="auto"/>
            <w:noWrap/>
            <w:vAlign w:val="bottom"/>
            <w:hideMark/>
          </w:tcPr>
          <w:p w14:paraId="3D8FCFA6" w14:textId="77777777" w:rsidR="003D6DD2" w:rsidRPr="00113E09" w:rsidRDefault="003D6DD2" w:rsidP="003D6DD2">
            <w:pPr>
              <w:spacing w:after="0" w:line="240" w:lineRule="auto"/>
              <w:jc w:val="center"/>
              <w:rPr>
                <w:rFonts w:ascii="Calibri" w:eastAsia="Times New Roman" w:hAnsi="Calibri" w:cs="Calibri"/>
                <w:b/>
                <w:bCs/>
              </w:rPr>
            </w:pPr>
            <w:r w:rsidRPr="00113E09">
              <w:rPr>
                <w:rFonts w:ascii="Calibri" w:eastAsia="Times New Roman" w:hAnsi="Calibri" w:cs="Calibri"/>
                <w:b/>
                <w:bCs/>
              </w:rPr>
              <w:t>2019</w:t>
            </w:r>
          </w:p>
        </w:tc>
        <w:tc>
          <w:tcPr>
            <w:tcW w:w="974" w:type="dxa"/>
            <w:tcBorders>
              <w:top w:val="single" w:sz="4" w:space="0" w:color="auto"/>
              <w:left w:val="nil"/>
              <w:bottom w:val="single" w:sz="4" w:space="0" w:color="auto"/>
              <w:right w:val="nil"/>
            </w:tcBorders>
            <w:shd w:val="clear" w:color="auto" w:fill="auto"/>
            <w:noWrap/>
            <w:vAlign w:val="bottom"/>
            <w:hideMark/>
          </w:tcPr>
          <w:p w14:paraId="511DD59E" w14:textId="77777777" w:rsidR="003D6DD2" w:rsidRPr="00113E09" w:rsidRDefault="003D6DD2" w:rsidP="003D6DD2">
            <w:pPr>
              <w:spacing w:after="0" w:line="240" w:lineRule="auto"/>
              <w:jc w:val="center"/>
              <w:rPr>
                <w:rFonts w:ascii="Calibri" w:eastAsia="Times New Roman" w:hAnsi="Calibri" w:cs="Calibri"/>
                <w:b/>
                <w:bCs/>
              </w:rPr>
            </w:pPr>
            <w:r w:rsidRPr="00113E09">
              <w:rPr>
                <w:rFonts w:ascii="Calibri" w:eastAsia="Times New Roman" w:hAnsi="Calibri" w:cs="Calibri"/>
                <w:b/>
                <w:bCs/>
              </w:rPr>
              <w:t>2020</w:t>
            </w:r>
          </w:p>
        </w:tc>
        <w:tc>
          <w:tcPr>
            <w:tcW w:w="1078" w:type="dxa"/>
            <w:tcBorders>
              <w:top w:val="single" w:sz="4" w:space="0" w:color="auto"/>
              <w:left w:val="nil"/>
              <w:bottom w:val="single" w:sz="4" w:space="0" w:color="auto"/>
              <w:right w:val="nil"/>
            </w:tcBorders>
            <w:shd w:val="clear" w:color="auto" w:fill="auto"/>
            <w:noWrap/>
            <w:vAlign w:val="bottom"/>
            <w:hideMark/>
          </w:tcPr>
          <w:p w14:paraId="0098DEBA" w14:textId="77777777" w:rsidR="003D6DD2" w:rsidRPr="00113E09" w:rsidRDefault="003D6DD2" w:rsidP="003D6DD2">
            <w:pPr>
              <w:spacing w:after="0" w:line="240" w:lineRule="auto"/>
              <w:jc w:val="center"/>
              <w:rPr>
                <w:rFonts w:ascii="Calibri" w:eastAsia="Times New Roman" w:hAnsi="Calibri" w:cs="Calibri"/>
                <w:b/>
                <w:bCs/>
              </w:rPr>
            </w:pPr>
            <w:r w:rsidRPr="00113E09">
              <w:rPr>
                <w:rFonts w:ascii="Calibri" w:eastAsia="Times New Roman" w:hAnsi="Calibri" w:cs="Calibri"/>
                <w:b/>
                <w:bCs/>
              </w:rPr>
              <w:t>**RFP</w:t>
            </w:r>
          </w:p>
        </w:tc>
      </w:tr>
      <w:tr w:rsidR="00113E09" w:rsidRPr="00113E09" w14:paraId="50E77CF8" w14:textId="77777777" w:rsidTr="001F7306">
        <w:trPr>
          <w:trHeight w:val="300"/>
        </w:trPr>
        <w:tc>
          <w:tcPr>
            <w:tcW w:w="1580" w:type="dxa"/>
            <w:tcBorders>
              <w:top w:val="nil"/>
              <w:left w:val="nil"/>
              <w:bottom w:val="single" w:sz="4" w:space="0" w:color="auto"/>
              <w:right w:val="nil"/>
            </w:tcBorders>
            <w:shd w:val="clear" w:color="auto" w:fill="auto"/>
            <w:noWrap/>
            <w:vAlign w:val="bottom"/>
            <w:hideMark/>
          </w:tcPr>
          <w:p w14:paraId="72EC65A7" w14:textId="33C1D27C" w:rsidR="003D6DD2" w:rsidRPr="00113E09" w:rsidRDefault="003D6DD2" w:rsidP="003D6DD2">
            <w:pPr>
              <w:spacing w:after="0" w:line="240" w:lineRule="auto"/>
              <w:rPr>
                <w:rFonts w:ascii="Calibri" w:eastAsia="Times New Roman" w:hAnsi="Calibri" w:cs="Calibri"/>
                <w:b/>
                <w:bCs/>
                <w:vertAlign w:val="subscript"/>
              </w:rPr>
            </w:pPr>
            <w:r w:rsidRPr="00113E09">
              <w:rPr>
                <w:rFonts w:ascii="Calibri" w:eastAsia="Times New Roman" w:hAnsi="Calibri" w:cs="Calibri"/>
                <w:b/>
                <w:bCs/>
              </w:rPr>
              <w:t>PM</w:t>
            </w:r>
            <w:r w:rsidR="007E7565" w:rsidRPr="00113E09">
              <w:rPr>
                <w:rFonts w:ascii="Calibri" w:eastAsia="Times New Roman" w:hAnsi="Calibri" w:cs="Calibri"/>
                <w:b/>
                <w:bCs/>
                <w:vertAlign w:val="subscript"/>
              </w:rPr>
              <w:t>2.5</w:t>
            </w:r>
          </w:p>
        </w:tc>
        <w:tc>
          <w:tcPr>
            <w:tcW w:w="382" w:type="dxa"/>
            <w:tcBorders>
              <w:top w:val="nil"/>
              <w:left w:val="nil"/>
              <w:bottom w:val="single" w:sz="4" w:space="0" w:color="auto"/>
              <w:right w:val="nil"/>
            </w:tcBorders>
            <w:shd w:val="clear" w:color="auto" w:fill="auto"/>
            <w:noWrap/>
            <w:vAlign w:val="bottom"/>
            <w:hideMark/>
          </w:tcPr>
          <w:p w14:paraId="7204AE89" w14:textId="77777777" w:rsidR="003D6DD2" w:rsidRPr="00113E09" w:rsidRDefault="003D6DD2" w:rsidP="003D6DD2">
            <w:pPr>
              <w:spacing w:after="0" w:line="240" w:lineRule="auto"/>
              <w:rPr>
                <w:rFonts w:ascii="Calibri" w:eastAsia="Times New Roman" w:hAnsi="Calibri" w:cs="Calibri"/>
              </w:rPr>
            </w:pPr>
            <w:r w:rsidRPr="00113E09">
              <w:rPr>
                <w:rFonts w:ascii="Calibri" w:eastAsia="Times New Roman" w:hAnsi="Calibri" w:cs="Calibri"/>
              </w:rPr>
              <w:t> </w:t>
            </w:r>
          </w:p>
        </w:tc>
        <w:tc>
          <w:tcPr>
            <w:tcW w:w="1271" w:type="dxa"/>
            <w:tcBorders>
              <w:top w:val="nil"/>
              <w:left w:val="nil"/>
              <w:bottom w:val="single" w:sz="4" w:space="0" w:color="auto"/>
              <w:right w:val="nil"/>
            </w:tcBorders>
            <w:shd w:val="clear" w:color="auto" w:fill="auto"/>
            <w:noWrap/>
            <w:vAlign w:val="bottom"/>
            <w:hideMark/>
          </w:tcPr>
          <w:p w14:paraId="38A8A9E4" w14:textId="77777777" w:rsidR="003D6DD2" w:rsidRPr="00113E09" w:rsidRDefault="003D6DD2" w:rsidP="003D6DD2">
            <w:pPr>
              <w:spacing w:after="0" w:line="240" w:lineRule="auto"/>
              <w:jc w:val="center"/>
              <w:rPr>
                <w:rFonts w:ascii="Calibri" w:eastAsia="Times New Roman" w:hAnsi="Calibri" w:cs="Calibri"/>
                <w:b/>
                <w:bCs/>
              </w:rPr>
            </w:pPr>
            <w:r w:rsidRPr="00113E09">
              <w:rPr>
                <w:rFonts w:ascii="Calibri" w:eastAsia="Times New Roman" w:hAnsi="Calibri" w:cs="Calibri"/>
                <w:b/>
                <w:bCs/>
              </w:rPr>
              <w:t>15.4</w:t>
            </w:r>
          </w:p>
        </w:tc>
        <w:tc>
          <w:tcPr>
            <w:tcW w:w="974" w:type="dxa"/>
            <w:tcBorders>
              <w:top w:val="nil"/>
              <w:left w:val="nil"/>
              <w:bottom w:val="single" w:sz="4" w:space="0" w:color="auto"/>
              <w:right w:val="nil"/>
            </w:tcBorders>
            <w:shd w:val="clear" w:color="auto" w:fill="auto"/>
            <w:noWrap/>
            <w:vAlign w:val="bottom"/>
            <w:hideMark/>
          </w:tcPr>
          <w:p w14:paraId="398A6DDD" w14:textId="77777777" w:rsidR="003D6DD2" w:rsidRPr="00113E09" w:rsidRDefault="003D6DD2" w:rsidP="003D6DD2">
            <w:pPr>
              <w:spacing w:after="0" w:line="240" w:lineRule="auto"/>
              <w:jc w:val="center"/>
              <w:rPr>
                <w:rFonts w:ascii="Calibri" w:eastAsia="Times New Roman" w:hAnsi="Calibri" w:cs="Calibri"/>
                <w:b/>
                <w:bCs/>
              </w:rPr>
            </w:pPr>
            <w:r w:rsidRPr="00113E09">
              <w:rPr>
                <w:rFonts w:ascii="Calibri" w:eastAsia="Times New Roman" w:hAnsi="Calibri" w:cs="Calibri"/>
                <w:b/>
                <w:bCs/>
              </w:rPr>
              <w:t>15.8</w:t>
            </w:r>
          </w:p>
        </w:tc>
        <w:tc>
          <w:tcPr>
            <w:tcW w:w="974" w:type="dxa"/>
            <w:tcBorders>
              <w:top w:val="nil"/>
              <w:left w:val="nil"/>
              <w:bottom w:val="single" w:sz="4" w:space="0" w:color="auto"/>
              <w:right w:val="nil"/>
            </w:tcBorders>
            <w:shd w:val="clear" w:color="auto" w:fill="auto"/>
            <w:noWrap/>
            <w:vAlign w:val="bottom"/>
            <w:hideMark/>
          </w:tcPr>
          <w:p w14:paraId="0EA58F8E" w14:textId="77777777" w:rsidR="003D6DD2" w:rsidRPr="00113E09" w:rsidRDefault="003D6DD2" w:rsidP="003D6DD2">
            <w:pPr>
              <w:spacing w:after="0" w:line="240" w:lineRule="auto"/>
              <w:jc w:val="center"/>
              <w:rPr>
                <w:rFonts w:ascii="Calibri" w:eastAsia="Times New Roman" w:hAnsi="Calibri" w:cs="Calibri"/>
                <w:b/>
                <w:bCs/>
              </w:rPr>
            </w:pPr>
            <w:r w:rsidRPr="00113E09">
              <w:rPr>
                <w:rFonts w:ascii="Calibri" w:eastAsia="Times New Roman" w:hAnsi="Calibri" w:cs="Calibri"/>
                <w:b/>
                <w:bCs/>
              </w:rPr>
              <w:t>16.1</w:t>
            </w:r>
          </w:p>
        </w:tc>
        <w:tc>
          <w:tcPr>
            <w:tcW w:w="974" w:type="dxa"/>
            <w:tcBorders>
              <w:top w:val="nil"/>
              <w:left w:val="nil"/>
              <w:bottom w:val="single" w:sz="4" w:space="0" w:color="auto"/>
              <w:right w:val="nil"/>
            </w:tcBorders>
            <w:shd w:val="clear" w:color="auto" w:fill="auto"/>
            <w:noWrap/>
            <w:vAlign w:val="bottom"/>
            <w:hideMark/>
          </w:tcPr>
          <w:p w14:paraId="0080ED04" w14:textId="77777777" w:rsidR="003D6DD2" w:rsidRPr="00113E09" w:rsidRDefault="003D6DD2" w:rsidP="003D6DD2">
            <w:pPr>
              <w:spacing w:after="0" w:line="240" w:lineRule="auto"/>
              <w:jc w:val="center"/>
              <w:rPr>
                <w:rFonts w:ascii="Calibri" w:eastAsia="Times New Roman" w:hAnsi="Calibri" w:cs="Calibri"/>
                <w:b/>
                <w:bCs/>
              </w:rPr>
            </w:pPr>
            <w:r w:rsidRPr="00113E09">
              <w:rPr>
                <w:rFonts w:ascii="Calibri" w:eastAsia="Times New Roman" w:hAnsi="Calibri" w:cs="Calibri"/>
                <w:b/>
                <w:bCs/>
              </w:rPr>
              <w:t>16.0</w:t>
            </w:r>
          </w:p>
        </w:tc>
        <w:tc>
          <w:tcPr>
            <w:tcW w:w="1078" w:type="dxa"/>
            <w:tcBorders>
              <w:top w:val="nil"/>
              <w:left w:val="nil"/>
              <w:bottom w:val="single" w:sz="4" w:space="0" w:color="auto"/>
              <w:right w:val="nil"/>
            </w:tcBorders>
            <w:shd w:val="clear" w:color="auto" w:fill="auto"/>
            <w:noWrap/>
            <w:vAlign w:val="bottom"/>
            <w:hideMark/>
          </w:tcPr>
          <w:p w14:paraId="6D116F4B" w14:textId="77777777" w:rsidR="003D6DD2" w:rsidRPr="00113E09" w:rsidRDefault="003D6DD2" w:rsidP="003D6DD2">
            <w:pPr>
              <w:spacing w:after="0" w:line="240" w:lineRule="auto"/>
              <w:jc w:val="center"/>
              <w:rPr>
                <w:rFonts w:ascii="Calibri" w:eastAsia="Times New Roman" w:hAnsi="Calibri" w:cs="Calibri"/>
                <w:b/>
                <w:bCs/>
              </w:rPr>
            </w:pPr>
            <w:r w:rsidRPr="00113E09">
              <w:rPr>
                <w:rFonts w:ascii="Calibri" w:eastAsia="Times New Roman" w:hAnsi="Calibri" w:cs="Calibri"/>
                <w:b/>
                <w:bCs/>
              </w:rPr>
              <w:t>0.2</w:t>
            </w:r>
          </w:p>
        </w:tc>
      </w:tr>
      <w:tr w:rsidR="00113E09" w:rsidRPr="00113E09" w14:paraId="0AACF466" w14:textId="77777777" w:rsidTr="001F7306">
        <w:trPr>
          <w:trHeight w:val="300"/>
        </w:trPr>
        <w:tc>
          <w:tcPr>
            <w:tcW w:w="1580" w:type="dxa"/>
            <w:tcBorders>
              <w:top w:val="nil"/>
              <w:left w:val="nil"/>
              <w:bottom w:val="single" w:sz="4" w:space="0" w:color="auto"/>
              <w:right w:val="nil"/>
            </w:tcBorders>
            <w:shd w:val="clear" w:color="auto" w:fill="auto"/>
            <w:noWrap/>
            <w:vAlign w:val="bottom"/>
            <w:hideMark/>
          </w:tcPr>
          <w:p w14:paraId="5BB20AB0" w14:textId="77777777" w:rsidR="003D6DD2" w:rsidRPr="00113E09" w:rsidRDefault="003D6DD2" w:rsidP="003D6DD2">
            <w:pPr>
              <w:spacing w:after="0" w:line="240" w:lineRule="auto"/>
              <w:rPr>
                <w:rFonts w:ascii="Calibri" w:eastAsia="Times New Roman" w:hAnsi="Calibri" w:cs="Calibri"/>
                <w:b/>
                <w:bCs/>
              </w:rPr>
            </w:pPr>
            <w:r w:rsidRPr="00113E09">
              <w:rPr>
                <w:rFonts w:ascii="Calibri" w:eastAsia="Times New Roman" w:hAnsi="Calibri" w:cs="Calibri"/>
                <w:b/>
                <w:bCs/>
              </w:rPr>
              <w:t xml:space="preserve">     NOx</w:t>
            </w:r>
          </w:p>
        </w:tc>
        <w:tc>
          <w:tcPr>
            <w:tcW w:w="382" w:type="dxa"/>
            <w:tcBorders>
              <w:top w:val="nil"/>
              <w:left w:val="nil"/>
              <w:bottom w:val="single" w:sz="4" w:space="0" w:color="auto"/>
              <w:right w:val="nil"/>
            </w:tcBorders>
            <w:shd w:val="clear" w:color="auto" w:fill="auto"/>
            <w:noWrap/>
            <w:vAlign w:val="bottom"/>
            <w:hideMark/>
          </w:tcPr>
          <w:p w14:paraId="5850DE8C" w14:textId="77777777" w:rsidR="003D6DD2" w:rsidRPr="00113E09" w:rsidRDefault="003D6DD2" w:rsidP="003D6DD2">
            <w:pPr>
              <w:spacing w:after="0" w:line="240" w:lineRule="auto"/>
              <w:rPr>
                <w:rFonts w:ascii="Calibri" w:eastAsia="Times New Roman" w:hAnsi="Calibri" w:cs="Calibri"/>
              </w:rPr>
            </w:pPr>
            <w:r w:rsidRPr="00113E09">
              <w:rPr>
                <w:rFonts w:ascii="Calibri" w:eastAsia="Times New Roman" w:hAnsi="Calibri" w:cs="Calibri"/>
              </w:rPr>
              <w:t> </w:t>
            </w:r>
          </w:p>
        </w:tc>
        <w:tc>
          <w:tcPr>
            <w:tcW w:w="1271" w:type="dxa"/>
            <w:tcBorders>
              <w:top w:val="nil"/>
              <w:left w:val="nil"/>
              <w:bottom w:val="single" w:sz="4" w:space="0" w:color="auto"/>
              <w:right w:val="nil"/>
            </w:tcBorders>
            <w:shd w:val="clear" w:color="auto" w:fill="auto"/>
            <w:noWrap/>
            <w:vAlign w:val="bottom"/>
            <w:hideMark/>
          </w:tcPr>
          <w:p w14:paraId="31768E2E" w14:textId="77777777" w:rsidR="003D6DD2" w:rsidRPr="00113E09" w:rsidRDefault="003D6DD2" w:rsidP="003D6DD2">
            <w:pPr>
              <w:spacing w:after="0" w:line="240" w:lineRule="auto"/>
              <w:jc w:val="center"/>
              <w:rPr>
                <w:rFonts w:ascii="Calibri" w:eastAsia="Times New Roman" w:hAnsi="Calibri" w:cs="Calibri"/>
              </w:rPr>
            </w:pPr>
            <w:r w:rsidRPr="00113E09">
              <w:rPr>
                <w:rFonts w:ascii="Calibri" w:eastAsia="Times New Roman" w:hAnsi="Calibri" w:cs="Calibri"/>
              </w:rPr>
              <w:t>103.6</w:t>
            </w:r>
          </w:p>
        </w:tc>
        <w:tc>
          <w:tcPr>
            <w:tcW w:w="974" w:type="dxa"/>
            <w:tcBorders>
              <w:top w:val="nil"/>
              <w:left w:val="nil"/>
              <w:bottom w:val="single" w:sz="4" w:space="0" w:color="auto"/>
              <w:right w:val="nil"/>
            </w:tcBorders>
            <w:shd w:val="clear" w:color="auto" w:fill="auto"/>
            <w:noWrap/>
            <w:vAlign w:val="bottom"/>
            <w:hideMark/>
          </w:tcPr>
          <w:p w14:paraId="2C395513" w14:textId="77777777" w:rsidR="003D6DD2" w:rsidRPr="00113E09" w:rsidRDefault="003D6DD2" w:rsidP="003D6DD2">
            <w:pPr>
              <w:spacing w:after="0" w:line="240" w:lineRule="auto"/>
              <w:jc w:val="center"/>
              <w:rPr>
                <w:rFonts w:ascii="Calibri" w:eastAsia="Times New Roman" w:hAnsi="Calibri" w:cs="Calibri"/>
              </w:rPr>
            </w:pPr>
            <w:r w:rsidRPr="00113E09">
              <w:rPr>
                <w:rFonts w:ascii="Calibri" w:eastAsia="Times New Roman" w:hAnsi="Calibri" w:cs="Calibri"/>
              </w:rPr>
              <w:t>100.2</w:t>
            </w:r>
          </w:p>
        </w:tc>
        <w:tc>
          <w:tcPr>
            <w:tcW w:w="974" w:type="dxa"/>
            <w:tcBorders>
              <w:top w:val="nil"/>
              <w:left w:val="nil"/>
              <w:bottom w:val="single" w:sz="4" w:space="0" w:color="auto"/>
              <w:right w:val="nil"/>
            </w:tcBorders>
            <w:shd w:val="clear" w:color="auto" w:fill="auto"/>
            <w:noWrap/>
            <w:vAlign w:val="bottom"/>
            <w:hideMark/>
          </w:tcPr>
          <w:p w14:paraId="2E8195FE" w14:textId="77777777" w:rsidR="003D6DD2" w:rsidRPr="00113E09" w:rsidRDefault="003D6DD2" w:rsidP="003D6DD2">
            <w:pPr>
              <w:spacing w:after="0" w:line="240" w:lineRule="auto"/>
              <w:jc w:val="center"/>
              <w:rPr>
                <w:rFonts w:ascii="Calibri" w:eastAsia="Times New Roman" w:hAnsi="Calibri" w:cs="Calibri"/>
              </w:rPr>
            </w:pPr>
            <w:r w:rsidRPr="00113E09">
              <w:rPr>
                <w:rFonts w:ascii="Calibri" w:eastAsia="Times New Roman" w:hAnsi="Calibri" w:cs="Calibri"/>
              </w:rPr>
              <w:t>94.9</w:t>
            </w:r>
          </w:p>
        </w:tc>
        <w:tc>
          <w:tcPr>
            <w:tcW w:w="974" w:type="dxa"/>
            <w:tcBorders>
              <w:top w:val="nil"/>
              <w:left w:val="nil"/>
              <w:bottom w:val="single" w:sz="4" w:space="0" w:color="auto"/>
              <w:right w:val="nil"/>
            </w:tcBorders>
            <w:shd w:val="clear" w:color="auto" w:fill="auto"/>
            <w:noWrap/>
            <w:vAlign w:val="bottom"/>
            <w:hideMark/>
          </w:tcPr>
          <w:p w14:paraId="3C63EDD1" w14:textId="77777777" w:rsidR="003D6DD2" w:rsidRPr="00113E09" w:rsidRDefault="003D6DD2" w:rsidP="003D6DD2">
            <w:pPr>
              <w:spacing w:after="0" w:line="240" w:lineRule="auto"/>
              <w:jc w:val="center"/>
              <w:rPr>
                <w:rFonts w:ascii="Calibri" w:eastAsia="Times New Roman" w:hAnsi="Calibri" w:cs="Calibri"/>
              </w:rPr>
            </w:pPr>
            <w:r w:rsidRPr="00113E09">
              <w:rPr>
                <w:rFonts w:ascii="Calibri" w:eastAsia="Times New Roman" w:hAnsi="Calibri" w:cs="Calibri"/>
              </w:rPr>
              <w:t>87.9</w:t>
            </w:r>
          </w:p>
        </w:tc>
        <w:tc>
          <w:tcPr>
            <w:tcW w:w="1078" w:type="dxa"/>
            <w:tcBorders>
              <w:top w:val="nil"/>
              <w:left w:val="nil"/>
              <w:bottom w:val="single" w:sz="4" w:space="0" w:color="auto"/>
              <w:right w:val="nil"/>
            </w:tcBorders>
            <w:shd w:val="clear" w:color="auto" w:fill="auto"/>
            <w:noWrap/>
            <w:vAlign w:val="bottom"/>
            <w:hideMark/>
          </w:tcPr>
          <w:p w14:paraId="60A73BC6" w14:textId="77777777" w:rsidR="003D6DD2" w:rsidRPr="00113E09" w:rsidRDefault="003D6DD2" w:rsidP="003D6DD2">
            <w:pPr>
              <w:spacing w:after="0" w:line="240" w:lineRule="auto"/>
              <w:jc w:val="center"/>
              <w:rPr>
                <w:rFonts w:ascii="Calibri" w:eastAsia="Times New Roman" w:hAnsi="Calibri" w:cs="Calibri"/>
              </w:rPr>
            </w:pPr>
            <w:r w:rsidRPr="00113E09">
              <w:rPr>
                <w:rFonts w:ascii="Calibri" w:eastAsia="Times New Roman" w:hAnsi="Calibri" w:cs="Calibri"/>
              </w:rPr>
              <w:t>-2.9</w:t>
            </w:r>
          </w:p>
        </w:tc>
      </w:tr>
      <w:tr w:rsidR="00113E09" w:rsidRPr="00113E09" w14:paraId="0D036F68" w14:textId="77777777" w:rsidTr="001F7306">
        <w:trPr>
          <w:trHeight w:val="300"/>
        </w:trPr>
        <w:tc>
          <w:tcPr>
            <w:tcW w:w="1580" w:type="dxa"/>
            <w:tcBorders>
              <w:top w:val="nil"/>
              <w:left w:val="nil"/>
              <w:bottom w:val="single" w:sz="4" w:space="0" w:color="auto"/>
              <w:right w:val="nil"/>
            </w:tcBorders>
            <w:shd w:val="clear" w:color="auto" w:fill="auto"/>
            <w:noWrap/>
            <w:vAlign w:val="bottom"/>
            <w:hideMark/>
          </w:tcPr>
          <w:p w14:paraId="28289BE3" w14:textId="77777777" w:rsidR="003D6DD2" w:rsidRPr="00113E09" w:rsidRDefault="003D6DD2" w:rsidP="003D6DD2">
            <w:pPr>
              <w:spacing w:after="0" w:line="240" w:lineRule="auto"/>
              <w:rPr>
                <w:rFonts w:ascii="Calibri" w:eastAsia="Times New Roman" w:hAnsi="Calibri" w:cs="Calibri"/>
                <w:b/>
                <w:bCs/>
              </w:rPr>
            </w:pPr>
            <w:r w:rsidRPr="00113E09">
              <w:rPr>
                <w:rFonts w:ascii="Calibri" w:eastAsia="Times New Roman" w:hAnsi="Calibri" w:cs="Calibri"/>
                <w:b/>
                <w:bCs/>
              </w:rPr>
              <w:t xml:space="preserve">     SO2</w:t>
            </w:r>
          </w:p>
        </w:tc>
        <w:tc>
          <w:tcPr>
            <w:tcW w:w="382" w:type="dxa"/>
            <w:tcBorders>
              <w:top w:val="nil"/>
              <w:left w:val="nil"/>
              <w:bottom w:val="single" w:sz="4" w:space="0" w:color="auto"/>
              <w:right w:val="nil"/>
            </w:tcBorders>
            <w:shd w:val="clear" w:color="auto" w:fill="auto"/>
            <w:noWrap/>
            <w:vAlign w:val="bottom"/>
            <w:hideMark/>
          </w:tcPr>
          <w:p w14:paraId="38F11B19" w14:textId="77777777" w:rsidR="003D6DD2" w:rsidRPr="00113E09" w:rsidRDefault="003D6DD2" w:rsidP="003D6DD2">
            <w:pPr>
              <w:spacing w:after="0" w:line="240" w:lineRule="auto"/>
              <w:rPr>
                <w:rFonts w:ascii="Calibri" w:eastAsia="Times New Roman" w:hAnsi="Calibri" w:cs="Calibri"/>
              </w:rPr>
            </w:pPr>
            <w:r w:rsidRPr="00113E09">
              <w:rPr>
                <w:rFonts w:ascii="Calibri" w:eastAsia="Times New Roman" w:hAnsi="Calibri" w:cs="Calibri"/>
              </w:rPr>
              <w:t> </w:t>
            </w:r>
          </w:p>
        </w:tc>
        <w:tc>
          <w:tcPr>
            <w:tcW w:w="1271" w:type="dxa"/>
            <w:tcBorders>
              <w:top w:val="nil"/>
              <w:left w:val="nil"/>
              <w:bottom w:val="single" w:sz="4" w:space="0" w:color="auto"/>
              <w:right w:val="nil"/>
            </w:tcBorders>
            <w:shd w:val="clear" w:color="auto" w:fill="auto"/>
            <w:noWrap/>
            <w:vAlign w:val="bottom"/>
            <w:hideMark/>
          </w:tcPr>
          <w:p w14:paraId="14A95A70" w14:textId="77777777" w:rsidR="003D6DD2" w:rsidRPr="00113E09" w:rsidRDefault="003D6DD2" w:rsidP="003D6DD2">
            <w:pPr>
              <w:spacing w:after="0" w:line="240" w:lineRule="auto"/>
              <w:jc w:val="center"/>
              <w:rPr>
                <w:rFonts w:ascii="Calibri" w:eastAsia="Times New Roman" w:hAnsi="Calibri" w:cs="Calibri"/>
              </w:rPr>
            </w:pPr>
            <w:r w:rsidRPr="00113E09">
              <w:rPr>
                <w:rFonts w:ascii="Calibri" w:eastAsia="Times New Roman" w:hAnsi="Calibri" w:cs="Calibri"/>
              </w:rPr>
              <w:t>5.6</w:t>
            </w:r>
          </w:p>
        </w:tc>
        <w:tc>
          <w:tcPr>
            <w:tcW w:w="974" w:type="dxa"/>
            <w:tcBorders>
              <w:top w:val="nil"/>
              <w:left w:val="nil"/>
              <w:bottom w:val="single" w:sz="4" w:space="0" w:color="auto"/>
              <w:right w:val="nil"/>
            </w:tcBorders>
            <w:shd w:val="clear" w:color="auto" w:fill="auto"/>
            <w:noWrap/>
            <w:vAlign w:val="bottom"/>
            <w:hideMark/>
          </w:tcPr>
          <w:p w14:paraId="3FFF31AF" w14:textId="77777777" w:rsidR="003D6DD2" w:rsidRPr="00113E09" w:rsidRDefault="003D6DD2" w:rsidP="003D6DD2">
            <w:pPr>
              <w:spacing w:after="0" w:line="240" w:lineRule="auto"/>
              <w:jc w:val="center"/>
              <w:rPr>
                <w:rFonts w:ascii="Calibri" w:eastAsia="Times New Roman" w:hAnsi="Calibri" w:cs="Calibri"/>
              </w:rPr>
            </w:pPr>
            <w:r w:rsidRPr="00113E09">
              <w:rPr>
                <w:rFonts w:ascii="Calibri" w:eastAsia="Times New Roman" w:hAnsi="Calibri" w:cs="Calibri"/>
              </w:rPr>
              <w:t>5.6</w:t>
            </w:r>
          </w:p>
        </w:tc>
        <w:tc>
          <w:tcPr>
            <w:tcW w:w="974" w:type="dxa"/>
            <w:tcBorders>
              <w:top w:val="nil"/>
              <w:left w:val="nil"/>
              <w:bottom w:val="single" w:sz="4" w:space="0" w:color="auto"/>
              <w:right w:val="nil"/>
            </w:tcBorders>
            <w:shd w:val="clear" w:color="auto" w:fill="auto"/>
            <w:noWrap/>
            <w:vAlign w:val="bottom"/>
            <w:hideMark/>
          </w:tcPr>
          <w:p w14:paraId="3C21ECDA" w14:textId="77777777" w:rsidR="003D6DD2" w:rsidRPr="00113E09" w:rsidRDefault="003D6DD2" w:rsidP="003D6DD2">
            <w:pPr>
              <w:spacing w:after="0" w:line="240" w:lineRule="auto"/>
              <w:jc w:val="center"/>
              <w:rPr>
                <w:rFonts w:ascii="Calibri" w:eastAsia="Times New Roman" w:hAnsi="Calibri" w:cs="Calibri"/>
              </w:rPr>
            </w:pPr>
            <w:r w:rsidRPr="00113E09">
              <w:rPr>
                <w:rFonts w:ascii="Calibri" w:eastAsia="Times New Roman" w:hAnsi="Calibri" w:cs="Calibri"/>
              </w:rPr>
              <w:t>4.9</w:t>
            </w:r>
          </w:p>
        </w:tc>
        <w:tc>
          <w:tcPr>
            <w:tcW w:w="974" w:type="dxa"/>
            <w:tcBorders>
              <w:top w:val="nil"/>
              <w:left w:val="nil"/>
              <w:bottom w:val="single" w:sz="4" w:space="0" w:color="auto"/>
              <w:right w:val="nil"/>
            </w:tcBorders>
            <w:shd w:val="clear" w:color="auto" w:fill="auto"/>
            <w:noWrap/>
            <w:vAlign w:val="bottom"/>
            <w:hideMark/>
          </w:tcPr>
          <w:p w14:paraId="7C883EB5" w14:textId="77777777" w:rsidR="003D6DD2" w:rsidRPr="00113E09" w:rsidRDefault="003D6DD2" w:rsidP="003D6DD2">
            <w:pPr>
              <w:spacing w:after="0" w:line="240" w:lineRule="auto"/>
              <w:jc w:val="center"/>
              <w:rPr>
                <w:rFonts w:ascii="Calibri" w:eastAsia="Times New Roman" w:hAnsi="Calibri" w:cs="Calibri"/>
              </w:rPr>
            </w:pPr>
            <w:r w:rsidRPr="00113E09">
              <w:rPr>
                <w:rFonts w:ascii="Calibri" w:eastAsia="Times New Roman" w:hAnsi="Calibri" w:cs="Calibri"/>
              </w:rPr>
              <w:t>4.9</w:t>
            </w:r>
          </w:p>
        </w:tc>
        <w:tc>
          <w:tcPr>
            <w:tcW w:w="1078" w:type="dxa"/>
            <w:tcBorders>
              <w:top w:val="nil"/>
              <w:left w:val="nil"/>
              <w:bottom w:val="single" w:sz="4" w:space="0" w:color="auto"/>
              <w:right w:val="nil"/>
            </w:tcBorders>
            <w:shd w:val="clear" w:color="auto" w:fill="auto"/>
            <w:noWrap/>
            <w:vAlign w:val="bottom"/>
            <w:hideMark/>
          </w:tcPr>
          <w:p w14:paraId="11DAABF4" w14:textId="77777777" w:rsidR="003D6DD2" w:rsidRPr="00113E09" w:rsidRDefault="003D6DD2" w:rsidP="003D6DD2">
            <w:pPr>
              <w:spacing w:after="0" w:line="240" w:lineRule="auto"/>
              <w:jc w:val="center"/>
              <w:rPr>
                <w:rFonts w:ascii="Calibri" w:eastAsia="Times New Roman" w:hAnsi="Calibri" w:cs="Calibri"/>
              </w:rPr>
            </w:pPr>
            <w:r w:rsidRPr="00113E09">
              <w:rPr>
                <w:rFonts w:ascii="Calibri" w:eastAsia="Times New Roman" w:hAnsi="Calibri" w:cs="Calibri"/>
              </w:rPr>
              <w:t>-0.2</w:t>
            </w:r>
          </w:p>
        </w:tc>
      </w:tr>
      <w:tr w:rsidR="00113E09" w:rsidRPr="00113E09" w14:paraId="2F0AF16A" w14:textId="77777777" w:rsidTr="001F7306">
        <w:trPr>
          <w:trHeight w:val="300"/>
        </w:trPr>
        <w:tc>
          <w:tcPr>
            <w:tcW w:w="1580" w:type="dxa"/>
            <w:tcBorders>
              <w:top w:val="nil"/>
              <w:left w:val="nil"/>
              <w:bottom w:val="single" w:sz="4" w:space="0" w:color="auto"/>
              <w:right w:val="nil"/>
            </w:tcBorders>
            <w:shd w:val="clear" w:color="auto" w:fill="auto"/>
            <w:noWrap/>
            <w:vAlign w:val="bottom"/>
            <w:hideMark/>
          </w:tcPr>
          <w:p w14:paraId="57D5B25C" w14:textId="77777777" w:rsidR="003D6DD2" w:rsidRPr="00113E09" w:rsidRDefault="003D6DD2" w:rsidP="003D6DD2">
            <w:pPr>
              <w:spacing w:after="0" w:line="240" w:lineRule="auto"/>
              <w:rPr>
                <w:rFonts w:ascii="Calibri" w:eastAsia="Times New Roman" w:hAnsi="Calibri" w:cs="Calibri"/>
                <w:b/>
                <w:bCs/>
              </w:rPr>
            </w:pPr>
            <w:r w:rsidRPr="00113E09">
              <w:rPr>
                <w:rFonts w:ascii="Calibri" w:eastAsia="Times New Roman" w:hAnsi="Calibri" w:cs="Calibri"/>
                <w:b/>
                <w:bCs/>
              </w:rPr>
              <w:t xml:space="preserve">     VOC</w:t>
            </w:r>
          </w:p>
        </w:tc>
        <w:tc>
          <w:tcPr>
            <w:tcW w:w="382" w:type="dxa"/>
            <w:tcBorders>
              <w:top w:val="nil"/>
              <w:left w:val="nil"/>
              <w:bottom w:val="single" w:sz="4" w:space="0" w:color="auto"/>
              <w:right w:val="nil"/>
            </w:tcBorders>
            <w:shd w:val="clear" w:color="auto" w:fill="auto"/>
            <w:noWrap/>
            <w:vAlign w:val="bottom"/>
            <w:hideMark/>
          </w:tcPr>
          <w:p w14:paraId="3C285B7F" w14:textId="77777777" w:rsidR="003D6DD2" w:rsidRPr="00113E09" w:rsidRDefault="003D6DD2" w:rsidP="003D6DD2">
            <w:pPr>
              <w:spacing w:after="0" w:line="240" w:lineRule="auto"/>
              <w:rPr>
                <w:rFonts w:ascii="Calibri" w:eastAsia="Times New Roman" w:hAnsi="Calibri" w:cs="Calibri"/>
              </w:rPr>
            </w:pPr>
            <w:r w:rsidRPr="00113E09">
              <w:rPr>
                <w:rFonts w:ascii="Calibri" w:eastAsia="Times New Roman" w:hAnsi="Calibri" w:cs="Calibri"/>
              </w:rPr>
              <w:t> </w:t>
            </w:r>
          </w:p>
        </w:tc>
        <w:tc>
          <w:tcPr>
            <w:tcW w:w="1271" w:type="dxa"/>
            <w:tcBorders>
              <w:top w:val="nil"/>
              <w:left w:val="nil"/>
              <w:bottom w:val="single" w:sz="4" w:space="0" w:color="auto"/>
              <w:right w:val="nil"/>
            </w:tcBorders>
            <w:shd w:val="clear" w:color="auto" w:fill="auto"/>
            <w:noWrap/>
            <w:vAlign w:val="bottom"/>
            <w:hideMark/>
          </w:tcPr>
          <w:p w14:paraId="734AFC70" w14:textId="77777777" w:rsidR="003D6DD2" w:rsidRPr="00113E09" w:rsidRDefault="003D6DD2" w:rsidP="003D6DD2">
            <w:pPr>
              <w:spacing w:after="0" w:line="240" w:lineRule="auto"/>
              <w:jc w:val="center"/>
              <w:rPr>
                <w:rFonts w:ascii="Calibri" w:eastAsia="Times New Roman" w:hAnsi="Calibri" w:cs="Calibri"/>
              </w:rPr>
            </w:pPr>
            <w:r w:rsidRPr="00113E09">
              <w:rPr>
                <w:rFonts w:ascii="Calibri" w:eastAsia="Times New Roman" w:hAnsi="Calibri" w:cs="Calibri"/>
              </w:rPr>
              <w:t>91.7</w:t>
            </w:r>
          </w:p>
        </w:tc>
        <w:tc>
          <w:tcPr>
            <w:tcW w:w="974" w:type="dxa"/>
            <w:tcBorders>
              <w:top w:val="nil"/>
              <w:left w:val="nil"/>
              <w:bottom w:val="single" w:sz="4" w:space="0" w:color="auto"/>
              <w:right w:val="nil"/>
            </w:tcBorders>
            <w:shd w:val="clear" w:color="auto" w:fill="auto"/>
            <w:noWrap/>
            <w:vAlign w:val="bottom"/>
            <w:hideMark/>
          </w:tcPr>
          <w:p w14:paraId="1EC344B5" w14:textId="77777777" w:rsidR="003D6DD2" w:rsidRPr="00113E09" w:rsidRDefault="003D6DD2" w:rsidP="003D6DD2">
            <w:pPr>
              <w:spacing w:after="0" w:line="240" w:lineRule="auto"/>
              <w:jc w:val="center"/>
              <w:rPr>
                <w:rFonts w:ascii="Calibri" w:eastAsia="Times New Roman" w:hAnsi="Calibri" w:cs="Calibri"/>
              </w:rPr>
            </w:pPr>
            <w:r w:rsidRPr="00113E09">
              <w:rPr>
                <w:rFonts w:ascii="Calibri" w:eastAsia="Times New Roman" w:hAnsi="Calibri" w:cs="Calibri"/>
              </w:rPr>
              <w:t>91.5</w:t>
            </w:r>
          </w:p>
        </w:tc>
        <w:tc>
          <w:tcPr>
            <w:tcW w:w="974" w:type="dxa"/>
            <w:tcBorders>
              <w:top w:val="nil"/>
              <w:left w:val="nil"/>
              <w:bottom w:val="single" w:sz="4" w:space="0" w:color="auto"/>
              <w:right w:val="nil"/>
            </w:tcBorders>
            <w:shd w:val="clear" w:color="auto" w:fill="auto"/>
            <w:noWrap/>
            <w:vAlign w:val="bottom"/>
            <w:hideMark/>
          </w:tcPr>
          <w:p w14:paraId="442F9C82" w14:textId="77777777" w:rsidR="003D6DD2" w:rsidRPr="00113E09" w:rsidRDefault="003D6DD2" w:rsidP="003D6DD2">
            <w:pPr>
              <w:spacing w:after="0" w:line="240" w:lineRule="auto"/>
              <w:jc w:val="center"/>
              <w:rPr>
                <w:rFonts w:ascii="Calibri" w:eastAsia="Times New Roman" w:hAnsi="Calibri" w:cs="Calibri"/>
              </w:rPr>
            </w:pPr>
            <w:r w:rsidRPr="00113E09">
              <w:rPr>
                <w:rFonts w:ascii="Calibri" w:eastAsia="Times New Roman" w:hAnsi="Calibri" w:cs="Calibri"/>
              </w:rPr>
              <w:t>86.8</w:t>
            </w:r>
          </w:p>
        </w:tc>
        <w:tc>
          <w:tcPr>
            <w:tcW w:w="974" w:type="dxa"/>
            <w:tcBorders>
              <w:top w:val="nil"/>
              <w:left w:val="nil"/>
              <w:bottom w:val="single" w:sz="4" w:space="0" w:color="auto"/>
              <w:right w:val="nil"/>
            </w:tcBorders>
            <w:shd w:val="clear" w:color="auto" w:fill="auto"/>
            <w:noWrap/>
            <w:vAlign w:val="bottom"/>
            <w:hideMark/>
          </w:tcPr>
          <w:p w14:paraId="71940F60" w14:textId="77777777" w:rsidR="003D6DD2" w:rsidRPr="00113E09" w:rsidRDefault="003D6DD2" w:rsidP="003D6DD2">
            <w:pPr>
              <w:spacing w:after="0" w:line="240" w:lineRule="auto"/>
              <w:jc w:val="center"/>
              <w:rPr>
                <w:rFonts w:ascii="Calibri" w:eastAsia="Times New Roman" w:hAnsi="Calibri" w:cs="Calibri"/>
              </w:rPr>
            </w:pPr>
            <w:r w:rsidRPr="00113E09">
              <w:rPr>
                <w:rFonts w:ascii="Calibri" w:eastAsia="Times New Roman" w:hAnsi="Calibri" w:cs="Calibri"/>
              </w:rPr>
              <w:t>83.5</w:t>
            </w:r>
          </w:p>
        </w:tc>
        <w:tc>
          <w:tcPr>
            <w:tcW w:w="1078" w:type="dxa"/>
            <w:tcBorders>
              <w:top w:val="nil"/>
              <w:left w:val="nil"/>
              <w:bottom w:val="single" w:sz="4" w:space="0" w:color="auto"/>
              <w:right w:val="nil"/>
            </w:tcBorders>
            <w:shd w:val="clear" w:color="auto" w:fill="auto"/>
            <w:noWrap/>
            <w:vAlign w:val="bottom"/>
            <w:hideMark/>
          </w:tcPr>
          <w:p w14:paraId="581EC225" w14:textId="77777777" w:rsidR="003D6DD2" w:rsidRPr="00113E09" w:rsidRDefault="003D6DD2" w:rsidP="003D6DD2">
            <w:pPr>
              <w:spacing w:after="0" w:line="240" w:lineRule="auto"/>
              <w:jc w:val="center"/>
              <w:rPr>
                <w:rFonts w:ascii="Calibri" w:eastAsia="Times New Roman" w:hAnsi="Calibri" w:cs="Calibri"/>
              </w:rPr>
            </w:pPr>
            <w:r w:rsidRPr="00113E09">
              <w:rPr>
                <w:rFonts w:ascii="Calibri" w:eastAsia="Times New Roman" w:hAnsi="Calibri" w:cs="Calibri"/>
              </w:rPr>
              <w:t>-1.6</w:t>
            </w:r>
          </w:p>
        </w:tc>
      </w:tr>
      <w:tr w:rsidR="00113E09" w:rsidRPr="00113E09" w14:paraId="101F2BC9" w14:textId="77777777" w:rsidTr="001F7306">
        <w:trPr>
          <w:trHeight w:val="300"/>
        </w:trPr>
        <w:tc>
          <w:tcPr>
            <w:tcW w:w="1580" w:type="dxa"/>
            <w:tcBorders>
              <w:top w:val="nil"/>
              <w:left w:val="nil"/>
              <w:bottom w:val="single" w:sz="4" w:space="0" w:color="auto"/>
              <w:right w:val="nil"/>
            </w:tcBorders>
            <w:shd w:val="clear" w:color="auto" w:fill="auto"/>
            <w:noWrap/>
            <w:vAlign w:val="bottom"/>
            <w:hideMark/>
          </w:tcPr>
          <w:p w14:paraId="51DC3F88" w14:textId="77777777" w:rsidR="003D6DD2" w:rsidRPr="00113E09" w:rsidRDefault="003D6DD2" w:rsidP="003D6DD2">
            <w:pPr>
              <w:spacing w:after="0" w:line="240" w:lineRule="auto"/>
              <w:rPr>
                <w:rFonts w:ascii="Calibri" w:eastAsia="Times New Roman" w:hAnsi="Calibri" w:cs="Calibri"/>
                <w:b/>
                <w:bCs/>
              </w:rPr>
            </w:pPr>
            <w:r w:rsidRPr="00113E09">
              <w:rPr>
                <w:rFonts w:ascii="Calibri" w:eastAsia="Times New Roman" w:hAnsi="Calibri" w:cs="Calibri"/>
                <w:b/>
                <w:bCs/>
              </w:rPr>
              <w:t xml:space="preserve">     NH3</w:t>
            </w:r>
          </w:p>
        </w:tc>
        <w:tc>
          <w:tcPr>
            <w:tcW w:w="382" w:type="dxa"/>
            <w:tcBorders>
              <w:top w:val="nil"/>
              <w:left w:val="nil"/>
              <w:bottom w:val="single" w:sz="4" w:space="0" w:color="auto"/>
              <w:right w:val="nil"/>
            </w:tcBorders>
            <w:shd w:val="clear" w:color="auto" w:fill="auto"/>
            <w:noWrap/>
            <w:vAlign w:val="bottom"/>
            <w:hideMark/>
          </w:tcPr>
          <w:p w14:paraId="097E1DF3" w14:textId="77777777" w:rsidR="003D6DD2" w:rsidRPr="00113E09" w:rsidRDefault="003D6DD2" w:rsidP="003D6DD2">
            <w:pPr>
              <w:spacing w:after="0" w:line="240" w:lineRule="auto"/>
              <w:rPr>
                <w:rFonts w:ascii="Calibri" w:eastAsia="Times New Roman" w:hAnsi="Calibri" w:cs="Calibri"/>
              </w:rPr>
            </w:pPr>
            <w:r w:rsidRPr="00113E09">
              <w:rPr>
                <w:rFonts w:ascii="Calibri" w:eastAsia="Times New Roman" w:hAnsi="Calibri" w:cs="Calibri"/>
              </w:rPr>
              <w:t> </w:t>
            </w:r>
          </w:p>
        </w:tc>
        <w:tc>
          <w:tcPr>
            <w:tcW w:w="1271" w:type="dxa"/>
            <w:tcBorders>
              <w:top w:val="nil"/>
              <w:left w:val="nil"/>
              <w:bottom w:val="single" w:sz="4" w:space="0" w:color="auto"/>
              <w:right w:val="nil"/>
            </w:tcBorders>
            <w:shd w:val="clear" w:color="auto" w:fill="auto"/>
            <w:noWrap/>
            <w:vAlign w:val="bottom"/>
            <w:hideMark/>
          </w:tcPr>
          <w:p w14:paraId="464FA913" w14:textId="77777777" w:rsidR="003D6DD2" w:rsidRPr="00113E09" w:rsidRDefault="003D6DD2" w:rsidP="003D6DD2">
            <w:pPr>
              <w:spacing w:after="0" w:line="240" w:lineRule="auto"/>
              <w:jc w:val="center"/>
              <w:rPr>
                <w:rFonts w:ascii="Calibri" w:eastAsia="Times New Roman" w:hAnsi="Calibri" w:cs="Calibri"/>
              </w:rPr>
            </w:pPr>
            <w:r w:rsidRPr="00113E09">
              <w:rPr>
                <w:rFonts w:ascii="Calibri" w:eastAsia="Times New Roman" w:hAnsi="Calibri" w:cs="Calibri"/>
              </w:rPr>
              <w:t>16.0</w:t>
            </w:r>
          </w:p>
        </w:tc>
        <w:tc>
          <w:tcPr>
            <w:tcW w:w="974" w:type="dxa"/>
            <w:tcBorders>
              <w:top w:val="nil"/>
              <w:left w:val="nil"/>
              <w:bottom w:val="single" w:sz="4" w:space="0" w:color="auto"/>
              <w:right w:val="nil"/>
            </w:tcBorders>
            <w:shd w:val="clear" w:color="auto" w:fill="auto"/>
            <w:noWrap/>
            <w:vAlign w:val="bottom"/>
            <w:hideMark/>
          </w:tcPr>
          <w:p w14:paraId="791627C6" w14:textId="77777777" w:rsidR="003D6DD2" w:rsidRPr="00113E09" w:rsidRDefault="003D6DD2" w:rsidP="003D6DD2">
            <w:pPr>
              <w:spacing w:after="0" w:line="240" w:lineRule="auto"/>
              <w:jc w:val="center"/>
              <w:rPr>
                <w:rFonts w:ascii="Calibri" w:eastAsia="Times New Roman" w:hAnsi="Calibri" w:cs="Calibri"/>
              </w:rPr>
            </w:pPr>
            <w:r w:rsidRPr="00113E09">
              <w:rPr>
                <w:rFonts w:ascii="Calibri" w:eastAsia="Times New Roman" w:hAnsi="Calibri" w:cs="Calibri"/>
              </w:rPr>
              <w:t>16.0</w:t>
            </w:r>
          </w:p>
        </w:tc>
        <w:tc>
          <w:tcPr>
            <w:tcW w:w="974" w:type="dxa"/>
            <w:tcBorders>
              <w:top w:val="nil"/>
              <w:left w:val="nil"/>
              <w:bottom w:val="single" w:sz="4" w:space="0" w:color="auto"/>
              <w:right w:val="nil"/>
            </w:tcBorders>
            <w:shd w:val="clear" w:color="auto" w:fill="auto"/>
            <w:noWrap/>
            <w:vAlign w:val="bottom"/>
            <w:hideMark/>
          </w:tcPr>
          <w:p w14:paraId="6200CA05" w14:textId="77777777" w:rsidR="003D6DD2" w:rsidRPr="00113E09" w:rsidRDefault="003D6DD2" w:rsidP="003D6DD2">
            <w:pPr>
              <w:spacing w:after="0" w:line="240" w:lineRule="auto"/>
              <w:jc w:val="center"/>
              <w:rPr>
                <w:rFonts w:ascii="Calibri" w:eastAsia="Times New Roman" w:hAnsi="Calibri" w:cs="Calibri"/>
              </w:rPr>
            </w:pPr>
            <w:r w:rsidRPr="00113E09">
              <w:rPr>
                <w:rFonts w:ascii="Calibri" w:eastAsia="Times New Roman" w:hAnsi="Calibri" w:cs="Calibri"/>
              </w:rPr>
              <w:t>16.0</w:t>
            </w:r>
          </w:p>
        </w:tc>
        <w:tc>
          <w:tcPr>
            <w:tcW w:w="974" w:type="dxa"/>
            <w:tcBorders>
              <w:top w:val="nil"/>
              <w:left w:val="nil"/>
              <w:bottom w:val="single" w:sz="4" w:space="0" w:color="auto"/>
              <w:right w:val="nil"/>
            </w:tcBorders>
            <w:shd w:val="clear" w:color="auto" w:fill="auto"/>
            <w:noWrap/>
            <w:vAlign w:val="bottom"/>
            <w:hideMark/>
          </w:tcPr>
          <w:p w14:paraId="5352FBA8" w14:textId="77777777" w:rsidR="003D6DD2" w:rsidRPr="00113E09" w:rsidRDefault="003D6DD2" w:rsidP="003D6DD2">
            <w:pPr>
              <w:spacing w:after="0" w:line="240" w:lineRule="auto"/>
              <w:jc w:val="center"/>
              <w:rPr>
                <w:rFonts w:ascii="Calibri" w:eastAsia="Times New Roman" w:hAnsi="Calibri" w:cs="Calibri"/>
              </w:rPr>
            </w:pPr>
            <w:r w:rsidRPr="00113E09">
              <w:rPr>
                <w:rFonts w:ascii="Calibri" w:eastAsia="Times New Roman" w:hAnsi="Calibri" w:cs="Calibri"/>
              </w:rPr>
              <w:t>15.9</w:t>
            </w:r>
          </w:p>
        </w:tc>
        <w:tc>
          <w:tcPr>
            <w:tcW w:w="1078" w:type="dxa"/>
            <w:tcBorders>
              <w:top w:val="nil"/>
              <w:left w:val="nil"/>
              <w:bottom w:val="single" w:sz="4" w:space="0" w:color="auto"/>
              <w:right w:val="nil"/>
            </w:tcBorders>
            <w:shd w:val="clear" w:color="auto" w:fill="auto"/>
            <w:noWrap/>
            <w:vAlign w:val="bottom"/>
            <w:hideMark/>
          </w:tcPr>
          <w:p w14:paraId="318D2DB4" w14:textId="77777777" w:rsidR="003D6DD2" w:rsidRPr="00113E09" w:rsidRDefault="003D6DD2" w:rsidP="003D6DD2">
            <w:pPr>
              <w:spacing w:after="0" w:line="240" w:lineRule="auto"/>
              <w:jc w:val="center"/>
              <w:rPr>
                <w:rFonts w:ascii="Calibri" w:eastAsia="Times New Roman" w:hAnsi="Calibri" w:cs="Calibri"/>
              </w:rPr>
            </w:pPr>
            <w:r w:rsidRPr="00113E09">
              <w:rPr>
                <w:rFonts w:ascii="Calibri" w:eastAsia="Times New Roman" w:hAnsi="Calibri" w:cs="Calibri"/>
              </w:rPr>
              <w:t>0.0</w:t>
            </w:r>
          </w:p>
        </w:tc>
      </w:tr>
      <w:tr w:rsidR="00113E09" w:rsidRPr="00113E09" w14:paraId="1946F5B6" w14:textId="77777777" w:rsidTr="001F7306">
        <w:trPr>
          <w:trHeight w:val="300"/>
        </w:trPr>
        <w:tc>
          <w:tcPr>
            <w:tcW w:w="1962" w:type="dxa"/>
            <w:gridSpan w:val="2"/>
            <w:tcBorders>
              <w:top w:val="single" w:sz="4" w:space="0" w:color="auto"/>
              <w:left w:val="nil"/>
              <w:bottom w:val="single" w:sz="4" w:space="0" w:color="auto"/>
              <w:right w:val="nil"/>
            </w:tcBorders>
            <w:shd w:val="clear" w:color="auto" w:fill="auto"/>
            <w:noWrap/>
            <w:vAlign w:val="bottom"/>
            <w:hideMark/>
          </w:tcPr>
          <w:p w14:paraId="16DF65E2" w14:textId="73BA42A6" w:rsidR="003D6DD2" w:rsidRPr="00113E09" w:rsidRDefault="003D6DD2" w:rsidP="003D6DD2">
            <w:pPr>
              <w:spacing w:after="0" w:line="240" w:lineRule="auto"/>
              <w:rPr>
                <w:rFonts w:ascii="Calibri" w:eastAsia="Times New Roman" w:hAnsi="Calibri" w:cs="Calibri"/>
                <w:b/>
                <w:bCs/>
              </w:rPr>
            </w:pPr>
            <w:r w:rsidRPr="00113E09">
              <w:rPr>
                <w:rFonts w:ascii="Calibri" w:eastAsia="Times New Roman" w:hAnsi="Calibri" w:cs="Calibri"/>
                <w:b/>
                <w:bCs/>
              </w:rPr>
              <w:t>PM</w:t>
            </w:r>
            <w:r w:rsidR="007E7565" w:rsidRPr="00113E09">
              <w:rPr>
                <w:rFonts w:ascii="Calibri" w:eastAsia="Times New Roman" w:hAnsi="Calibri" w:cs="Calibri"/>
                <w:b/>
                <w:bCs/>
                <w:vertAlign w:val="subscript"/>
              </w:rPr>
              <w:t>2.5</w:t>
            </w:r>
            <w:r w:rsidRPr="00113E09">
              <w:rPr>
                <w:rFonts w:ascii="Calibri" w:eastAsia="Times New Roman" w:hAnsi="Calibri" w:cs="Calibri"/>
                <w:b/>
                <w:bCs/>
              </w:rPr>
              <w:t xml:space="preserve"> Precursors</w:t>
            </w:r>
          </w:p>
        </w:tc>
        <w:tc>
          <w:tcPr>
            <w:tcW w:w="1271" w:type="dxa"/>
            <w:tcBorders>
              <w:top w:val="nil"/>
              <w:left w:val="nil"/>
              <w:bottom w:val="single" w:sz="4" w:space="0" w:color="auto"/>
              <w:right w:val="nil"/>
            </w:tcBorders>
            <w:shd w:val="clear" w:color="auto" w:fill="auto"/>
            <w:noWrap/>
            <w:vAlign w:val="bottom"/>
            <w:hideMark/>
          </w:tcPr>
          <w:p w14:paraId="13545ADB" w14:textId="77777777" w:rsidR="003D6DD2" w:rsidRPr="00113E09" w:rsidRDefault="003D6DD2" w:rsidP="003D6DD2">
            <w:pPr>
              <w:spacing w:after="0" w:line="240" w:lineRule="auto"/>
              <w:jc w:val="center"/>
              <w:rPr>
                <w:rFonts w:ascii="Calibri" w:eastAsia="Times New Roman" w:hAnsi="Calibri" w:cs="Calibri"/>
                <w:b/>
                <w:bCs/>
              </w:rPr>
            </w:pPr>
            <w:r w:rsidRPr="00113E09">
              <w:rPr>
                <w:rFonts w:ascii="Calibri" w:eastAsia="Times New Roman" w:hAnsi="Calibri" w:cs="Calibri"/>
                <w:b/>
                <w:bCs/>
              </w:rPr>
              <w:t>216.9</w:t>
            </w:r>
          </w:p>
        </w:tc>
        <w:tc>
          <w:tcPr>
            <w:tcW w:w="974" w:type="dxa"/>
            <w:tcBorders>
              <w:top w:val="nil"/>
              <w:left w:val="nil"/>
              <w:bottom w:val="single" w:sz="4" w:space="0" w:color="auto"/>
              <w:right w:val="nil"/>
            </w:tcBorders>
            <w:shd w:val="clear" w:color="auto" w:fill="auto"/>
            <w:noWrap/>
            <w:vAlign w:val="bottom"/>
            <w:hideMark/>
          </w:tcPr>
          <w:p w14:paraId="262E4F8A" w14:textId="77777777" w:rsidR="003D6DD2" w:rsidRPr="00113E09" w:rsidRDefault="003D6DD2" w:rsidP="003D6DD2">
            <w:pPr>
              <w:spacing w:after="0" w:line="240" w:lineRule="auto"/>
              <w:jc w:val="center"/>
              <w:rPr>
                <w:rFonts w:ascii="Calibri" w:eastAsia="Times New Roman" w:hAnsi="Calibri" w:cs="Calibri"/>
                <w:b/>
                <w:bCs/>
              </w:rPr>
            </w:pPr>
            <w:r w:rsidRPr="00113E09">
              <w:rPr>
                <w:rFonts w:ascii="Calibri" w:eastAsia="Times New Roman" w:hAnsi="Calibri" w:cs="Calibri"/>
                <w:b/>
                <w:bCs/>
              </w:rPr>
              <w:t>213.2</w:t>
            </w:r>
          </w:p>
        </w:tc>
        <w:tc>
          <w:tcPr>
            <w:tcW w:w="974" w:type="dxa"/>
            <w:tcBorders>
              <w:top w:val="nil"/>
              <w:left w:val="nil"/>
              <w:bottom w:val="single" w:sz="4" w:space="0" w:color="auto"/>
              <w:right w:val="nil"/>
            </w:tcBorders>
            <w:shd w:val="clear" w:color="auto" w:fill="auto"/>
            <w:noWrap/>
            <w:vAlign w:val="bottom"/>
            <w:hideMark/>
          </w:tcPr>
          <w:p w14:paraId="59AE1BA7" w14:textId="77777777" w:rsidR="003D6DD2" w:rsidRPr="00113E09" w:rsidRDefault="003D6DD2" w:rsidP="003D6DD2">
            <w:pPr>
              <w:spacing w:after="0" w:line="240" w:lineRule="auto"/>
              <w:jc w:val="center"/>
              <w:rPr>
                <w:rFonts w:ascii="Calibri" w:eastAsia="Times New Roman" w:hAnsi="Calibri" w:cs="Calibri"/>
                <w:b/>
                <w:bCs/>
              </w:rPr>
            </w:pPr>
            <w:r w:rsidRPr="00113E09">
              <w:rPr>
                <w:rFonts w:ascii="Calibri" w:eastAsia="Times New Roman" w:hAnsi="Calibri" w:cs="Calibri"/>
                <w:b/>
                <w:bCs/>
              </w:rPr>
              <w:t>202.6</w:t>
            </w:r>
          </w:p>
        </w:tc>
        <w:tc>
          <w:tcPr>
            <w:tcW w:w="974" w:type="dxa"/>
            <w:tcBorders>
              <w:top w:val="nil"/>
              <w:left w:val="nil"/>
              <w:bottom w:val="single" w:sz="4" w:space="0" w:color="auto"/>
              <w:right w:val="nil"/>
            </w:tcBorders>
            <w:shd w:val="clear" w:color="auto" w:fill="auto"/>
            <w:noWrap/>
            <w:vAlign w:val="bottom"/>
            <w:hideMark/>
          </w:tcPr>
          <w:p w14:paraId="0767AA31" w14:textId="77777777" w:rsidR="003D6DD2" w:rsidRPr="00113E09" w:rsidRDefault="003D6DD2" w:rsidP="003D6DD2">
            <w:pPr>
              <w:spacing w:after="0" w:line="240" w:lineRule="auto"/>
              <w:jc w:val="center"/>
              <w:rPr>
                <w:rFonts w:ascii="Calibri" w:eastAsia="Times New Roman" w:hAnsi="Calibri" w:cs="Calibri"/>
                <w:b/>
                <w:bCs/>
              </w:rPr>
            </w:pPr>
            <w:r w:rsidRPr="00113E09">
              <w:rPr>
                <w:rFonts w:ascii="Calibri" w:eastAsia="Times New Roman" w:hAnsi="Calibri" w:cs="Calibri"/>
                <w:b/>
                <w:bCs/>
              </w:rPr>
              <w:t>192.2</w:t>
            </w:r>
          </w:p>
        </w:tc>
        <w:tc>
          <w:tcPr>
            <w:tcW w:w="1078" w:type="dxa"/>
            <w:tcBorders>
              <w:top w:val="nil"/>
              <w:left w:val="nil"/>
              <w:bottom w:val="single" w:sz="4" w:space="0" w:color="auto"/>
              <w:right w:val="nil"/>
            </w:tcBorders>
            <w:shd w:val="clear" w:color="auto" w:fill="auto"/>
            <w:noWrap/>
            <w:vAlign w:val="bottom"/>
            <w:hideMark/>
          </w:tcPr>
          <w:p w14:paraId="2EF8C915" w14:textId="77777777" w:rsidR="003D6DD2" w:rsidRPr="00113E09" w:rsidRDefault="003D6DD2" w:rsidP="003D6DD2">
            <w:pPr>
              <w:spacing w:after="0" w:line="240" w:lineRule="auto"/>
              <w:jc w:val="center"/>
              <w:rPr>
                <w:rFonts w:ascii="Calibri" w:eastAsia="Times New Roman" w:hAnsi="Calibri" w:cs="Calibri"/>
                <w:b/>
                <w:bCs/>
              </w:rPr>
            </w:pPr>
            <w:r w:rsidRPr="00113E09">
              <w:rPr>
                <w:rFonts w:ascii="Calibri" w:eastAsia="Times New Roman" w:hAnsi="Calibri" w:cs="Calibri"/>
                <w:b/>
                <w:bCs/>
              </w:rPr>
              <w:t>-4.8</w:t>
            </w:r>
          </w:p>
        </w:tc>
      </w:tr>
      <w:tr w:rsidR="00113E09" w:rsidRPr="00113E09" w14:paraId="1C55D518" w14:textId="77777777" w:rsidTr="001F7306">
        <w:trPr>
          <w:trHeight w:val="300"/>
        </w:trPr>
        <w:tc>
          <w:tcPr>
            <w:tcW w:w="1580" w:type="dxa"/>
            <w:tcBorders>
              <w:top w:val="nil"/>
              <w:left w:val="nil"/>
              <w:bottom w:val="single" w:sz="4" w:space="0" w:color="auto"/>
              <w:right w:val="nil"/>
            </w:tcBorders>
            <w:shd w:val="clear" w:color="auto" w:fill="auto"/>
            <w:noWrap/>
            <w:vAlign w:val="bottom"/>
            <w:hideMark/>
          </w:tcPr>
          <w:p w14:paraId="524CFABE" w14:textId="77777777" w:rsidR="003D6DD2" w:rsidRPr="00113E09" w:rsidRDefault="003D6DD2" w:rsidP="003D6DD2">
            <w:pPr>
              <w:spacing w:after="0" w:line="240" w:lineRule="auto"/>
              <w:rPr>
                <w:rFonts w:ascii="Calibri" w:eastAsia="Times New Roman" w:hAnsi="Calibri" w:cs="Calibri"/>
                <w:b/>
                <w:bCs/>
              </w:rPr>
            </w:pPr>
            <w:r w:rsidRPr="00113E09">
              <w:rPr>
                <w:rFonts w:ascii="Calibri" w:eastAsia="Times New Roman" w:hAnsi="Calibri" w:cs="Calibri"/>
                <w:b/>
                <w:bCs/>
              </w:rPr>
              <w:t>Total</w:t>
            </w:r>
          </w:p>
        </w:tc>
        <w:tc>
          <w:tcPr>
            <w:tcW w:w="382" w:type="dxa"/>
            <w:tcBorders>
              <w:top w:val="nil"/>
              <w:left w:val="nil"/>
              <w:bottom w:val="single" w:sz="4" w:space="0" w:color="auto"/>
              <w:right w:val="nil"/>
            </w:tcBorders>
            <w:shd w:val="clear" w:color="auto" w:fill="auto"/>
            <w:noWrap/>
            <w:vAlign w:val="bottom"/>
            <w:hideMark/>
          </w:tcPr>
          <w:p w14:paraId="6E3C2AA1" w14:textId="77777777" w:rsidR="003D6DD2" w:rsidRPr="00113E09" w:rsidRDefault="003D6DD2" w:rsidP="003D6DD2">
            <w:pPr>
              <w:spacing w:after="0" w:line="240" w:lineRule="auto"/>
              <w:rPr>
                <w:rFonts w:ascii="Calibri" w:eastAsia="Times New Roman" w:hAnsi="Calibri" w:cs="Calibri"/>
              </w:rPr>
            </w:pPr>
            <w:r w:rsidRPr="00113E09">
              <w:rPr>
                <w:rFonts w:ascii="Calibri" w:eastAsia="Times New Roman" w:hAnsi="Calibri" w:cs="Calibri"/>
              </w:rPr>
              <w:t> </w:t>
            </w:r>
          </w:p>
        </w:tc>
        <w:tc>
          <w:tcPr>
            <w:tcW w:w="1271" w:type="dxa"/>
            <w:tcBorders>
              <w:top w:val="nil"/>
              <w:left w:val="nil"/>
              <w:bottom w:val="single" w:sz="4" w:space="0" w:color="auto"/>
              <w:right w:val="nil"/>
            </w:tcBorders>
            <w:shd w:val="clear" w:color="auto" w:fill="auto"/>
            <w:noWrap/>
            <w:vAlign w:val="bottom"/>
            <w:hideMark/>
          </w:tcPr>
          <w:p w14:paraId="153C5A00" w14:textId="77777777" w:rsidR="003D6DD2" w:rsidRPr="00113E09" w:rsidRDefault="003D6DD2" w:rsidP="003D6DD2">
            <w:pPr>
              <w:spacing w:after="0" w:line="240" w:lineRule="auto"/>
              <w:jc w:val="center"/>
              <w:rPr>
                <w:rFonts w:ascii="Calibri" w:eastAsia="Times New Roman" w:hAnsi="Calibri" w:cs="Calibri"/>
                <w:b/>
                <w:bCs/>
              </w:rPr>
            </w:pPr>
            <w:r w:rsidRPr="00113E09">
              <w:rPr>
                <w:rFonts w:ascii="Calibri" w:eastAsia="Times New Roman" w:hAnsi="Calibri" w:cs="Calibri"/>
                <w:b/>
                <w:bCs/>
              </w:rPr>
              <w:t>232.3</w:t>
            </w:r>
          </w:p>
        </w:tc>
        <w:tc>
          <w:tcPr>
            <w:tcW w:w="974" w:type="dxa"/>
            <w:tcBorders>
              <w:top w:val="nil"/>
              <w:left w:val="nil"/>
              <w:bottom w:val="single" w:sz="4" w:space="0" w:color="auto"/>
              <w:right w:val="nil"/>
            </w:tcBorders>
            <w:shd w:val="clear" w:color="auto" w:fill="auto"/>
            <w:noWrap/>
            <w:vAlign w:val="bottom"/>
            <w:hideMark/>
          </w:tcPr>
          <w:p w14:paraId="4755810D" w14:textId="77777777" w:rsidR="003D6DD2" w:rsidRPr="00113E09" w:rsidRDefault="003D6DD2" w:rsidP="003D6DD2">
            <w:pPr>
              <w:spacing w:after="0" w:line="240" w:lineRule="auto"/>
              <w:jc w:val="center"/>
              <w:rPr>
                <w:rFonts w:ascii="Calibri" w:eastAsia="Times New Roman" w:hAnsi="Calibri" w:cs="Calibri"/>
                <w:b/>
                <w:bCs/>
              </w:rPr>
            </w:pPr>
            <w:r w:rsidRPr="00113E09">
              <w:rPr>
                <w:rFonts w:ascii="Calibri" w:eastAsia="Times New Roman" w:hAnsi="Calibri" w:cs="Calibri"/>
                <w:b/>
                <w:bCs/>
              </w:rPr>
              <w:t>229.0</w:t>
            </w:r>
          </w:p>
        </w:tc>
        <w:tc>
          <w:tcPr>
            <w:tcW w:w="974" w:type="dxa"/>
            <w:tcBorders>
              <w:top w:val="nil"/>
              <w:left w:val="nil"/>
              <w:bottom w:val="single" w:sz="4" w:space="0" w:color="auto"/>
              <w:right w:val="nil"/>
            </w:tcBorders>
            <w:shd w:val="clear" w:color="auto" w:fill="auto"/>
            <w:noWrap/>
            <w:vAlign w:val="bottom"/>
            <w:hideMark/>
          </w:tcPr>
          <w:p w14:paraId="36449B67" w14:textId="77777777" w:rsidR="003D6DD2" w:rsidRPr="00113E09" w:rsidRDefault="003D6DD2" w:rsidP="003D6DD2">
            <w:pPr>
              <w:spacing w:after="0" w:line="240" w:lineRule="auto"/>
              <w:jc w:val="center"/>
              <w:rPr>
                <w:rFonts w:ascii="Calibri" w:eastAsia="Times New Roman" w:hAnsi="Calibri" w:cs="Calibri"/>
                <w:b/>
                <w:bCs/>
              </w:rPr>
            </w:pPr>
            <w:r w:rsidRPr="00113E09">
              <w:rPr>
                <w:rFonts w:ascii="Calibri" w:eastAsia="Times New Roman" w:hAnsi="Calibri" w:cs="Calibri"/>
                <w:b/>
                <w:bCs/>
              </w:rPr>
              <w:t>218.7</w:t>
            </w:r>
          </w:p>
        </w:tc>
        <w:tc>
          <w:tcPr>
            <w:tcW w:w="974" w:type="dxa"/>
            <w:tcBorders>
              <w:top w:val="nil"/>
              <w:left w:val="nil"/>
              <w:bottom w:val="single" w:sz="4" w:space="0" w:color="auto"/>
              <w:right w:val="nil"/>
            </w:tcBorders>
            <w:shd w:val="clear" w:color="auto" w:fill="auto"/>
            <w:noWrap/>
            <w:vAlign w:val="bottom"/>
            <w:hideMark/>
          </w:tcPr>
          <w:p w14:paraId="010A836E" w14:textId="77777777" w:rsidR="003D6DD2" w:rsidRPr="00113E09" w:rsidRDefault="003D6DD2" w:rsidP="003D6DD2">
            <w:pPr>
              <w:spacing w:after="0" w:line="240" w:lineRule="auto"/>
              <w:jc w:val="center"/>
              <w:rPr>
                <w:rFonts w:ascii="Calibri" w:eastAsia="Times New Roman" w:hAnsi="Calibri" w:cs="Calibri"/>
                <w:b/>
                <w:bCs/>
              </w:rPr>
            </w:pPr>
            <w:r w:rsidRPr="00113E09">
              <w:rPr>
                <w:rFonts w:ascii="Calibri" w:eastAsia="Times New Roman" w:hAnsi="Calibri" w:cs="Calibri"/>
                <w:b/>
                <w:bCs/>
              </w:rPr>
              <w:t>208.2</w:t>
            </w:r>
          </w:p>
        </w:tc>
        <w:tc>
          <w:tcPr>
            <w:tcW w:w="1078" w:type="dxa"/>
            <w:tcBorders>
              <w:top w:val="nil"/>
              <w:left w:val="nil"/>
              <w:bottom w:val="single" w:sz="4" w:space="0" w:color="auto"/>
              <w:right w:val="nil"/>
            </w:tcBorders>
            <w:shd w:val="clear" w:color="auto" w:fill="auto"/>
            <w:noWrap/>
            <w:vAlign w:val="bottom"/>
            <w:hideMark/>
          </w:tcPr>
          <w:p w14:paraId="0B60D19B" w14:textId="77777777" w:rsidR="003D6DD2" w:rsidRPr="00113E09" w:rsidRDefault="003D6DD2" w:rsidP="003D6DD2">
            <w:pPr>
              <w:spacing w:after="0" w:line="240" w:lineRule="auto"/>
              <w:jc w:val="center"/>
              <w:rPr>
                <w:rFonts w:ascii="Calibri" w:eastAsia="Times New Roman" w:hAnsi="Calibri" w:cs="Calibri"/>
                <w:b/>
                <w:bCs/>
              </w:rPr>
            </w:pPr>
            <w:r w:rsidRPr="00113E09">
              <w:rPr>
                <w:rFonts w:ascii="Calibri" w:eastAsia="Times New Roman" w:hAnsi="Calibri" w:cs="Calibri"/>
                <w:b/>
                <w:bCs/>
              </w:rPr>
              <w:t>-4.5</w:t>
            </w:r>
          </w:p>
        </w:tc>
      </w:tr>
      <w:tr w:rsidR="00113E09" w:rsidRPr="00113E09" w14:paraId="658C8625" w14:textId="77777777" w:rsidTr="001F7306">
        <w:trPr>
          <w:trHeight w:val="300"/>
        </w:trPr>
        <w:tc>
          <w:tcPr>
            <w:tcW w:w="7233" w:type="dxa"/>
            <w:gridSpan w:val="7"/>
            <w:tcBorders>
              <w:top w:val="single" w:sz="4" w:space="0" w:color="auto"/>
              <w:left w:val="nil"/>
              <w:bottom w:val="single" w:sz="4" w:space="0" w:color="auto"/>
              <w:right w:val="nil"/>
            </w:tcBorders>
            <w:shd w:val="clear" w:color="auto" w:fill="auto"/>
            <w:noWrap/>
            <w:vAlign w:val="bottom"/>
            <w:hideMark/>
          </w:tcPr>
          <w:p w14:paraId="23DCB806" w14:textId="77777777" w:rsidR="003D6DD2" w:rsidRPr="00113E09" w:rsidRDefault="003D6DD2" w:rsidP="003D6DD2">
            <w:pPr>
              <w:spacing w:after="0" w:line="240" w:lineRule="auto"/>
              <w:rPr>
                <w:rFonts w:ascii="Calibri" w:eastAsia="Times New Roman" w:hAnsi="Calibri" w:cs="Calibri"/>
              </w:rPr>
            </w:pPr>
            <w:r w:rsidRPr="00113E09">
              <w:rPr>
                <w:rFonts w:ascii="Calibri" w:eastAsia="Times New Roman" w:hAnsi="Calibri" w:cs="Calibri"/>
              </w:rPr>
              <w:t>*Emissions are reported in tons per average-episode-day</w:t>
            </w:r>
          </w:p>
        </w:tc>
      </w:tr>
      <w:tr w:rsidR="00113E09" w:rsidRPr="00113E09" w14:paraId="2594F2D7" w14:textId="77777777" w:rsidTr="001F7306">
        <w:trPr>
          <w:trHeight w:val="630"/>
        </w:trPr>
        <w:tc>
          <w:tcPr>
            <w:tcW w:w="7233" w:type="dxa"/>
            <w:gridSpan w:val="7"/>
            <w:tcBorders>
              <w:top w:val="single" w:sz="4" w:space="0" w:color="auto"/>
              <w:left w:val="nil"/>
              <w:bottom w:val="single" w:sz="4" w:space="0" w:color="auto"/>
              <w:right w:val="nil"/>
            </w:tcBorders>
            <w:shd w:val="clear" w:color="auto" w:fill="auto"/>
            <w:vAlign w:val="bottom"/>
            <w:hideMark/>
          </w:tcPr>
          <w:p w14:paraId="5B033855" w14:textId="77777777" w:rsidR="003D6DD2" w:rsidRPr="00113E09" w:rsidRDefault="003D6DD2" w:rsidP="00C5554D">
            <w:pPr>
              <w:keepNext/>
              <w:spacing w:after="0" w:line="240" w:lineRule="auto"/>
              <w:rPr>
                <w:rFonts w:ascii="Calibri" w:eastAsia="Times New Roman" w:hAnsi="Calibri" w:cs="Calibri"/>
              </w:rPr>
            </w:pPr>
            <w:r w:rsidRPr="00113E09">
              <w:rPr>
                <w:rFonts w:ascii="Calibri" w:eastAsia="Times New Roman" w:hAnsi="Calibri" w:cs="Calibri"/>
              </w:rPr>
              <w:t>**Emission change per year, (ton/day) averaged from Base Year (2016) through Attainment Year (2019)</w:t>
            </w:r>
          </w:p>
        </w:tc>
      </w:tr>
    </w:tbl>
    <w:p w14:paraId="67A800B1" w14:textId="6772EBBB" w:rsidR="00C5554D" w:rsidRPr="00113E09" w:rsidRDefault="00C5554D" w:rsidP="00C5554D">
      <w:pPr>
        <w:pStyle w:val="Caption"/>
        <w:rPr>
          <w:color w:val="auto"/>
        </w:rPr>
      </w:pPr>
      <w:bookmarkStart w:id="40" w:name="_Toc17268997"/>
      <w:bookmarkStart w:id="41" w:name="_Toc16156405"/>
      <w:bookmarkStart w:id="42" w:name="_Toc16162940"/>
      <w:r w:rsidRPr="00113E09">
        <w:rPr>
          <w:color w:val="auto"/>
        </w:rPr>
        <w:t xml:space="preserve">Table IX.A.36. </w:t>
      </w:r>
      <w:r w:rsidR="00767843" w:rsidRPr="00113E09">
        <w:rPr>
          <w:color w:val="auto"/>
        </w:rPr>
        <w:fldChar w:fldCharType="begin"/>
      </w:r>
      <w:r w:rsidR="00767843" w:rsidRPr="00113E09">
        <w:rPr>
          <w:color w:val="auto"/>
        </w:rPr>
        <w:instrText xml:space="preserve"> SEQ Table_IX.A.36. \* ARABIC </w:instrText>
      </w:r>
      <w:r w:rsidR="00767843" w:rsidRPr="00113E09">
        <w:rPr>
          <w:color w:val="auto"/>
        </w:rPr>
        <w:fldChar w:fldCharType="separate"/>
      </w:r>
      <w:r w:rsidR="00767843">
        <w:rPr>
          <w:noProof/>
          <w:color w:val="auto"/>
        </w:rPr>
        <w:t>7</w:t>
      </w:r>
      <w:r w:rsidR="00767843" w:rsidRPr="00113E09">
        <w:rPr>
          <w:noProof/>
          <w:color w:val="auto"/>
        </w:rPr>
        <w:fldChar w:fldCharType="end"/>
      </w:r>
      <w:r w:rsidRPr="00113E09">
        <w:rPr>
          <w:color w:val="auto"/>
        </w:rPr>
        <w:t xml:space="preserve"> Emission </w:t>
      </w:r>
      <w:r w:rsidR="00BB1034" w:rsidRPr="00113E09">
        <w:rPr>
          <w:color w:val="auto"/>
        </w:rPr>
        <w:t>R</w:t>
      </w:r>
      <w:r w:rsidRPr="00113E09">
        <w:rPr>
          <w:color w:val="auto"/>
        </w:rPr>
        <w:t xml:space="preserve">eductions in SLC NAA </w:t>
      </w:r>
      <w:r w:rsidR="00D05BA9" w:rsidRPr="00113E09">
        <w:rPr>
          <w:color w:val="auto"/>
        </w:rPr>
        <w:t>f</w:t>
      </w:r>
      <w:r w:rsidRPr="00113E09">
        <w:rPr>
          <w:color w:val="auto"/>
        </w:rPr>
        <w:t xml:space="preserve">rom all </w:t>
      </w:r>
      <w:r w:rsidR="00BB1034" w:rsidRPr="00113E09">
        <w:rPr>
          <w:color w:val="auto"/>
        </w:rPr>
        <w:t>C</w:t>
      </w:r>
      <w:r w:rsidRPr="00113E09">
        <w:rPr>
          <w:color w:val="auto"/>
        </w:rPr>
        <w:t>ontrols in Serious SIP</w:t>
      </w:r>
      <w:bookmarkEnd w:id="40"/>
    </w:p>
    <w:bookmarkEnd w:id="41"/>
    <w:bookmarkEnd w:id="42"/>
    <w:p w14:paraId="464E807A" w14:textId="77777777" w:rsidR="000B22FA" w:rsidRPr="00113E09" w:rsidRDefault="000B22FA" w:rsidP="00042807">
      <w:pPr>
        <w:pStyle w:val="Caption"/>
        <w:rPr>
          <w:rFonts w:asciiTheme="minorHAnsi" w:hAnsiTheme="minorHAnsi"/>
          <w:color w:val="auto"/>
        </w:rPr>
      </w:pPr>
    </w:p>
    <w:p w14:paraId="4CA3AEAC" w14:textId="21330504" w:rsidR="000B22FA" w:rsidRDefault="000B22FA" w:rsidP="00E875DA">
      <w:pPr>
        <w:rPr>
          <w:rFonts w:cs="Times New Roman"/>
        </w:rPr>
      </w:pPr>
      <w:r w:rsidRPr="00113E09">
        <w:rPr>
          <w:rFonts w:cs="Times New Roman"/>
        </w:rPr>
        <w:t>The cumulative effect of all permanent and enforceable emission reductions is represented in Table IX.</w:t>
      </w:r>
      <w:r w:rsidR="00BA779B" w:rsidRPr="00113E09">
        <w:rPr>
          <w:rFonts w:cs="Times New Roman"/>
        </w:rPr>
        <w:t>A.</w:t>
      </w:r>
      <w:r w:rsidRPr="00113E09">
        <w:rPr>
          <w:rFonts w:cs="Times New Roman"/>
        </w:rPr>
        <w:t>36.</w:t>
      </w:r>
      <w:r w:rsidR="00435833" w:rsidRPr="00113E09">
        <w:rPr>
          <w:rFonts w:cs="Times New Roman"/>
        </w:rPr>
        <w:t>7</w:t>
      </w:r>
      <w:r w:rsidRPr="00113E09">
        <w:rPr>
          <w:rFonts w:cs="Times New Roman"/>
        </w:rPr>
        <w:t xml:space="preserve">. The </w:t>
      </w:r>
      <w:r w:rsidR="000065F3" w:rsidRPr="00113E09">
        <w:rPr>
          <w:rFonts w:cs="Times New Roman"/>
        </w:rPr>
        <w:t xml:space="preserve">emissions reductions resulting from federal programs and the RACM/RACT plus </w:t>
      </w:r>
      <w:r w:rsidRPr="00113E09">
        <w:rPr>
          <w:rFonts w:cs="Times New Roman"/>
        </w:rPr>
        <w:t xml:space="preserve">BACM/BACT controls incorporated into the Utah SIP </w:t>
      </w:r>
      <w:r w:rsidR="000065F3" w:rsidRPr="00113E09">
        <w:rPr>
          <w:rFonts w:cs="Times New Roman"/>
        </w:rPr>
        <w:t>and</w:t>
      </w:r>
      <w:r w:rsidRPr="00113E09">
        <w:rPr>
          <w:rFonts w:cs="Times New Roman"/>
        </w:rPr>
        <w:t xml:space="preserve"> promulgated at the State level, result in emission reductions that are consistent with the notion of permanent and enforceable improvements in air quality. Taken together with the trends in ambient air quality illustrated in the preceding paragraph, along with the continued implementation of the nonattainment SIP for the SLC NAA, </w:t>
      </w:r>
      <w:r w:rsidR="006C3245" w:rsidRPr="00113E09">
        <w:rPr>
          <w:rFonts w:cs="Times New Roman"/>
        </w:rPr>
        <w:t xml:space="preserve">they </w:t>
      </w:r>
      <w:r w:rsidRPr="000B22FA">
        <w:rPr>
          <w:rFonts w:cs="Times New Roman"/>
        </w:rPr>
        <w:t>provide a reliable indication that these improvements in air quality reflect the application of permanent steps to improve the air quality in the region.</w:t>
      </w:r>
    </w:p>
    <w:p w14:paraId="3E70DAF8" w14:textId="184DE9D9" w:rsidR="004C1422" w:rsidRPr="00C82B28" w:rsidRDefault="00756E68" w:rsidP="00306BC8">
      <w:pPr>
        <w:pStyle w:val="Heading2"/>
      </w:pPr>
      <w:bookmarkStart w:id="43" w:name="_Toc17268964"/>
      <w:r>
        <w:lastRenderedPageBreak/>
        <w:t>(4</w:t>
      </w:r>
      <w:r w:rsidR="0048689A">
        <w:t xml:space="preserve">) </w:t>
      </w:r>
      <w:r w:rsidR="004C1422" w:rsidRPr="00C82B28">
        <w:t>State has Met Requirements of Section 110 and Part D</w:t>
      </w:r>
      <w:bookmarkEnd w:id="43"/>
      <w:r w:rsidR="004C1422" w:rsidRPr="00C82B28">
        <w:t xml:space="preserve"> </w:t>
      </w:r>
    </w:p>
    <w:p w14:paraId="035B0A3B" w14:textId="77777777" w:rsidR="00027415" w:rsidRPr="00027415" w:rsidRDefault="00027415" w:rsidP="00027415">
      <w:pPr>
        <w:rPr>
          <w:rFonts w:eastAsia="Calibri" w:cs="Times New Roman"/>
        </w:rPr>
      </w:pPr>
      <w:r w:rsidRPr="00027415">
        <w:rPr>
          <w:rFonts w:eastAsia="Calibri" w:cs="Times New Roman"/>
          <w:i/>
        </w:rPr>
        <w:t>CAA 107(d)(3)(E)(v) - The State containing such area has met all requirements applicable to the area under section 110 and part D</w:t>
      </w:r>
      <w:r w:rsidRPr="00027415">
        <w:rPr>
          <w:rFonts w:eastAsia="Calibri" w:cs="Times New Roman"/>
        </w:rPr>
        <w:t>. Section 110 of the Act deals with the broad scope of state implementation plans and the capacity of the respective state agency to effectively administer such a plan. Part D deals specifically with plan requirements for nonattainment areas, including those requirements that are specific to PM</w:t>
      </w:r>
      <w:r w:rsidRPr="00027415">
        <w:rPr>
          <w:rFonts w:eastAsia="Calibri" w:cs="Times New Roman"/>
          <w:vertAlign w:val="subscript"/>
        </w:rPr>
        <w:t>2.5</w:t>
      </w:r>
      <w:r w:rsidRPr="00027415">
        <w:rPr>
          <w:rFonts w:eastAsia="Calibri" w:cs="Times New Roman"/>
        </w:rPr>
        <w:t xml:space="preserve">. </w:t>
      </w:r>
    </w:p>
    <w:p w14:paraId="66A2C043" w14:textId="0BFDA1F4" w:rsidR="00E0316A" w:rsidRDefault="00E0316A" w:rsidP="00306BC8">
      <w:pPr>
        <w:pStyle w:val="Heading3"/>
        <w:numPr>
          <w:ilvl w:val="0"/>
          <w:numId w:val="39"/>
        </w:numPr>
      </w:pPr>
      <w:bookmarkStart w:id="44" w:name="_Toc17268965"/>
      <w:r>
        <w:t>Section 110</w:t>
      </w:r>
      <w:bookmarkEnd w:id="44"/>
    </w:p>
    <w:p w14:paraId="2CDB26A8" w14:textId="59CF489D" w:rsidR="00C72356" w:rsidRDefault="00C72356" w:rsidP="00C72356">
      <w:pPr>
        <w:rPr>
          <w:rFonts w:cs="Times New Roman"/>
        </w:rPr>
      </w:pPr>
      <w:r>
        <w:rPr>
          <w:rFonts w:cs="Times New Roman"/>
        </w:rPr>
        <w:t>The State has met all requirements applicable to the SLC NAA under Section 110 of the Act. Section 110(a)(2) contains the general requirements or infrastructure elements necessary for EPA approval of the SIP. On September 21, 2010, the State submitted an Infrastructure SIP to EPA demonstrating compliance with the requirements of Section 110 that are applicable to the 2006 PM</w:t>
      </w:r>
      <w:r>
        <w:rPr>
          <w:rFonts w:cs="Times New Roman"/>
          <w:vertAlign w:val="subscript"/>
        </w:rPr>
        <w:t>2.5</w:t>
      </w:r>
      <w:r>
        <w:rPr>
          <w:rFonts w:cs="Times New Roman"/>
        </w:rPr>
        <w:t xml:space="preserve"> NAAQS. EPA approved the State’s Infrastructure SIP on November 25, 2013 (</w:t>
      </w:r>
      <w:r w:rsidR="00180FD8">
        <w:rPr>
          <w:rFonts w:cs="Times New Roman"/>
        </w:rPr>
        <w:t>78</w:t>
      </w:r>
      <w:r>
        <w:rPr>
          <w:rFonts w:cs="Times New Roman"/>
        </w:rPr>
        <w:t xml:space="preserve"> FR </w:t>
      </w:r>
      <w:r w:rsidR="00180FD8">
        <w:rPr>
          <w:rFonts w:cs="Times New Roman"/>
        </w:rPr>
        <w:t>63883</w:t>
      </w:r>
      <w:r>
        <w:rPr>
          <w:rFonts w:cs="Times New Roman"/>
        </w:rPr>
        <w:t xml:space="preserve">) for all Section 110 requirements that are applicable to redesignation.  </w:t>
      </w:r>
    </w:p>
    <w:p w14:paraId="5165880B" w14:textId="662EBE97" w:rsidR="00E0316A" w:rsidRDefault="00E0316A" w:rsidP="00306BC8">
      <w:pPr>
        <w:pStyle w:val="Heading3"/>
      </w:pPr>
      <w:bookmarkStart w:id="45" w:name="_Toc17268966"/>
      <w:r>
        <w:t>Part D Subpart 1 and 4</w:t>
      </w:r>
      <w:bookmarkEnd w:id="45"/>
    </w:p>
    <w:p w14:paraId="6A564C56" w14:textId="2DCC2152" w:rsidR="004E3CFE" w:rsidRDefault="004E3CFE" w:rsidP="004E3CFE">
      <w:r>
        <w:t>Part D of the Act addresses “Plan Requirements for Nonattainment Areas.” Subparts 1 and 4 of Part D contain planning elements that must be included in the SIP. This includes the requirement to submit an attainment demonstration, reasonable further progress plans, quantitative milestones and milestone reports, a motor vehicle emission budget for the attainment year for the purposes of transportation conformity, and contingency measures for the area. However, upon EPA’s issuance of a final clean data determination demonstrating that the SLC NAA has attained the standard, these requirements are suspended</w:t>
      </w:r>
      <w:r w:rsidR="00EE5434">
        <w:t xml:space="preserve"> (</w:t>
      </w:r>
      <w:r>
        <w:t>40 C.F.R. § 51.1015(b)</w:t>
      </w:r>
      <w:r w:rsidR="00EE5434">
        <w:t xml:space="preserve"> and</w:t>
      </w:r>
      <w:r>
        <w:t xml:space="preserve"> 84 FR 26054</w:t>
      </w:r>
      <w:r w:rsidR="00EE5434">
        <w:t>)</w:t>
      </w:r>
      <w:r>
        <w:t xml:space="preserve">. </w:t>
      </w:r>
    </w:p>
    <w:p w14:paraId="0BBB79D4" w14:textId="192FA166" w:rsidR="004E3CFE" w:rsidRDefault="004E3CFE" w:rsidP="004E3CFE">
      <w:r>
        <w:t>The remaining Part D requirements that are relevant to redesignation are requirements that are independent of helping the area achieve attainment. This includes the requirement to have a nonattainment new source review (“NNSR”) program, emissions inventory</w:t>
      </w:r>
      <w:r w:rsidR="007D11B8">
        <w:t xml:space="preserve"> submission</w:t>
      </w:r>
      <w:r>
        <w:t>, and implement</w:t>
      </w:r>
      <w:r w:rsidR="007D11B8">
        <w:t xml:space="preserve">ation of </w:t>
      </w:r>
      <w:r>
        <w:t>BACM/BACT. The State has satisfied these remaining requirements. Utah’s NNSR program can be found in Utah Administrative Rule R307</w:t>
      </w:r>
      <w:r>
        <w:rPr>
          <w:rFonts w:cs="Times New Roman"/>
        </w:rPr>
        <w:t>-403, Permits: New and Modified Sources in Nonattainment Areas and Maintenance Areas.</w:t>
      </w:r>
      <w:r>
        <w:t xml:space="preserve"> EPA fully approved the current version of the NNSR program o</w:t>
      </w:r>
      <w:r>
        <w:rPr>
          <w:rFonts w:cs="Times New Roman"/>
        </w:rPr>
        <w:t xml:space="preserve">n July 25, 2019 (84 FR 35832). </w:t>
      </w:r>
      <w:r>
        <w:t xml:space="preserve">The BACM/BACT requirements and the emissions inventory were included in the </w:t>
      </w:r>
      <w:r w:rsidR="00542D13">
        <w:t>s</w:t>
      </w:r>
      <w:r>
        <w:t>erious SIP for the SLC NAA that the State submitted to the EPA on</w:t>
      </w:r>
      <w:r w:rsidRPr="00113E09">
        <w:t xml:space="preserve"> February 15, 2019. </w:t>
      </w:r>
      <w:r w:rsidR="007D11B8" w:rsidRPr="00113E09">
        <w:t>Upon EPA’s app</w:t>
      </w:r>
      <w:r w:rsidR="007D11B8">
        <w:t>roval of these elements prior to or concurrently with EPA’s action on the maintenance plan/redesignation request, Utah will have complied with all applicable Part D requirements.</w:t>
      </w:r>
    </w:p>
    <w:p w14:paraId="4884C8C1" w14:textId="4242174F" w:rsidR="004C1422" w:rsidRDefault="003E36F1" w:rsidP="00306BC8">
      <w:pPr>
        <w:pStyle w:val="Heading2"/>
      </w:pPr>
      <w:r>
        <w:t xml:space="preserve"> </w:t>
      </w:r>
      <w:bookmarkStart w:id="46" w:name="_Toc17268967"/>
      <w:r w:rsidR="00756E68">
        <w:t>(5</w:t>
      </w:r>
      <w:r w:rsidR="0048689A">
        <w:t xml:space="preserve">) </w:t>
      </w:r>
      <w:r w:rsidR="00253E8F">
        <w:t>Maintenance Plan for PM</w:t>
      </w:r>
      <w:r w:rsidR="00253E8F" w:rsidRPr="00253E8F">
        <w:rPr>
          <w:vertAlign w:val="subscript"/>
        </w:rPr>
        <w:t>2.5</w:t>
      </w:r>
      <w:r w:rsidR="004C1422" w:rsidRPr="00253E8F">
        <w:rPr>
          <w:vertAlign w:val="subscript"/>
        </w:rPr>
        <w:t xml:space="preserve"> </w:t>
      </w:r>
      <w:r w:rsidR="004C1422" w:rsidRPr="00C82B28">
        <w:t>Areas</w:t>
      </w:r>
      <w:bookmarkEnd w:id="46"/>
      <w:r w:rsidR="004C1422" w:rsidRPr="00C82B28">
        <w:t xml:space="preserve"> </w:t>
      </w:r>
    </w:p>
    <w:p w14:paraId="29166A22" w14:textId="12C16C8C" w:rsidR="00253E8F" w:rsidRDefault="00253E8F" w:rsidP="00E875DA">
      <w:r w:rsidRPr="00253E8F">
        <w:t xml:space="preserve">As stated in the Act, an area may not </w:t>
      </w:r>
      <w:r w:rsidR="0053762A">
        <w:t>be</w:t>
      </w:r>
      <w:r w:rsidRPr="00253E8F">
        <w:t xml:space="preserve"> redesigna</w:t>
      </w:r>
      <w:r w:rsidR="0053762A">
        <w:t>ted</w:t>
      </w:r>
      <w:r w:rsidRPr="00253E8F">
        <w:t xml:space="preserve"> to attai</w:t>
      </w:r>
      <w:r w:rsidR="00F376DA">
        <w:t xml:space="preserve">nment without first submitting </w:t>
      </w:r>
      <w:r w:rsidRPr="00253E8F">
        <w:t xml:space="preserve">and </w:t>
      </w:r>
      <w:r w:rsidR="00F376DA">
        <w:t>receiving</w:t>
      </w:r>
      <w:r w:rsidR="00F519C5">
        <w:t xml:space="preserve"> EPA approval of </w:t>
      </w:r>
      <w:r w:rsidRPr="00253E8F">
        <w:t>a maintena</w:t>
      </w:r>
      <w:r w:rsidR="009134B3">
        <w:t xml:space="preserve">nce plan. The </w:t>
      </w:r>
      <w:r w:rsidR="00611DBC">
        <w:t xml:space="preserve">maintenance </w:t>
      </w:r>
      <w:r w:rsidR="009134B3">
        <w:t xml:space="preserve">plan is </w:t>
      </w:r>
      <w:r w:rsidRPr="00253E8F">
        <w:t>a quantitative showing that the area will continue to attain the NAAQS for an additional 10 years (from EPA approval), accompanied by sufficient assurance that the terms of the numeric demonstration will be administered by the State and by the EPA in an oversight capacity. The maintenance plan is the central criterion for redesignation. It is contained in the following subsection.</w:t>
      </w:r>
    </w:p>
    <w:p w14:paraId="5BF261E8" w14:textId="31CD15AE" w:rsidR="005D5458" w:rsidRPr="00253E8F" w:rsidRDefault="006C190D" w:rsidP="006C190D">
      <w:pPr>
        <w:pStyle w:val="Heading1"/>
        <w:numPr>
          <w:ilvl w:val="0"/>
          <w:numId w:val="0"/>
        </w:numPr>
      </w:pPr>
      <w:bookmarkStart w:id="47" w:name="_Toc17268968"/>
      <w:r>
        <w:lastRenderedPageBreak/>
        <w:t>IX</w:t>
      </w:r>
      <w:r w:rsidR="00930C14">
        <w:t>.A.36</w:t>
      </w:r>
      <w:r w:rsidR="00611537">
        <w:t>.c</w:t>
      </w:r>
      <w:r w:rsidR="005D5458">
        <w:t xml:space="preserve"> Maintenance Plan</w:t>
      </w:r>
      <w:bookmarkEnd w:id="47"/>
    </w:p>
    <w:p w14:paraId="031B6E69" w14:textId="77777777" w:rsidR="00384866" w:rsidRPr="00384866" w:rsidRDefault="00384866" w:rsidP="00384866">
      <w:r w:rsidRPr="00384866">
        <w:rPr>
          <w:i/>
          <w:iCs/>
        </w:rPr>
        <w:t xml:space="preserve">CAA 107(d)(3)(E)(iv) - The Administrator has fully approved a maintenance plan for the area as meeting the requirements of section 175A. </w:t>
      </w:r>
      <w:r w:rsidRPr="00384866">
        <w:t>An approved maintenance plan is one of several criteria necessary for area redesignation as outlined in Section 107(d)(3)(E) of the Act. The maintenance plan itself, as described in Section 175A of the Act and further addressed in EPA guidance</w:t>
      </w:r>
      <w:r w:rsidRPr="00384866">
        <w:rPr>
          <w:vertAlign w:val="superscript"/>
        </w:rPr>
        <w:footnoteReference w:id="14"/>
      </w:r>
      <w:r w:rsidRPr="00384866">
        <w:t xml:space="preserve"> has its own list of required elements. The following table is presented to summarize these requirements. Each will then be addressed in turn.</w:t>
      </w: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1998"/>
        <w:gridCol w:w="4055"/>
        <w:gridCol w:w="1345"/>
        <w:gridCol w:w="1458"/>
      </w:tblGrid>
      <w:tr w:rsidR="00384866" w:rsidRPr="00384866" w14:paraId="7382FA7B" w14:textId="77777777" w:rsidTr="007560C8">
        <w:tc>
          <w:tcPr>
            <w:tcW w:w="1998" w:type="dxa"/>
            <w:shd w:val="clear" w:color="auto" w:fill="D9D9D9" w:themeFill="background1" w:themeFillShade="D9"/>
          </w:tcPr>
          <w:p w14:paraId="4E6760E6" w14:textId="77777777" w:rsidR="00384866" w:rsidRPr="00384866" w:rsidRDefault="00384866" w:rsidP="00384866">
            <w:pPr>
              <w:spacing w:after="0" w:line="240" w:lineRule="auto"/>
              <w:jc w:val="center"/>
              <w:rPr>
                <w:rFonts w:ascii="Arial" w:eastAsia="Times New Roman" w:hAnsi="Arial" w:cs="Arial"/>
                <w:b/>
                <w:bCs/>
                <w:sz w:val="20"/>
                <w:szCs w:val="20"/>
              </w:rPr>
            </w:pPr>
          </w:p>
          <w:p w14:paraId="6EFD3E95" w14:textId="77777777" w:rsidR="00384866" w:rsidRPr="00384866" w:rsidRDefault="00384866" w:rsidP="00384866">
            <w:pPr>
              <w:spacing w:after="0" w:line="240" w:lineRule="auto"/>
              <w:jc w:val="center"/>
              <w:rPr>
                <w:rFonts w:ascii="Arial" w:eastAsia="Times New Roman" w:hAnsi="Arial" w:cs="Arial"/>
                <w:b/>
                <w:bCs/>
                <w:sz w:val="20"/>
                <w:szCs w:val="20"/>
              </w:rPr>
            </w:pPr>
            <w:r w:rsidRPr="00384866">
              <w:rPr>
                <w:rFonts w:ascii="Arial" w:eastAsia="Times New Roman" w:hAnsi="Arial" w:cs="Arial"/>
                <w:b/>
                <w:bCs/>
                <w:sz w:val="20"/>
                <w:szCs w:val="20"/>
              </w:rPr>
              <w:t>Category</w:t>
            </w:r>
          </w:p>
        </w:tc>
        <w:tc>
          <w:tcPr>
            <w:tcW w:w="4055" w:type="dxa"/>
            <w:shd w:val="clear" w:color="auto" w:fill="D9D9D9" w:themeFill="background1" w:themeFillShade="D9"/>
          </w:tcPr>
          <w:p w14:paraId="0456C19C" w14:textId="77777777" w:rsidR="00384866" w:rsidRPr="00384866" w:rsidRDefault="00384866" w:rsidP="00384866">
            <w:pPr>
              <w:spacing w:after="0" w:line="240" w:lineRule="auto"/>
              <w:jc w:val="center"/>
              <w:rPr>
                <w:rFonts w:ascii="Arial" w:eastAsia="Times New Roman" w:hAnsi="Arial" w:cs="Arial"/>
                <w:b/>
                <w:sz w:val="20"/>
                <w:szCs w:val="20"/>
              </w:rPr>
            </w:pPr>
          </w:p>
          <w:p w14:paraId="0F4E2B4E" w14:textId="77777777" w:rsidR="00384866" w:rsidRPr="00384866" w:rsidRDefault="00384866" w:rsidP="00384866">
            <w:pPr>
              <w:spacing w:after="0" w:line="240" w:lineRule="auto"/>
              <w:jc w:val="center"/>
              <w:rPr>
                <w:rFonts w:ascii="Arial" w:eastAsia="Times New Roman" w:hAnsi="Arial" w:cs="Arial"/>
                <w:b/>
                <w:sz w:val="20"/>
                <w:szCs w:val="20"/>
              </w:rPr>
            </w:pPr>
            <w:r w:rsidRPr="00384866">
              <w:rPr>
                <w:rFonts w:ascii="Arial" w:eastAsia="Times New Roman" w:hAnsi="Arial" w:cs="Arial"/>
                <w:b/>
                <w:sz w:val="20"/>
                <w:szCs w:val="20"/>
              </w:rPr>
              <w:t>Requirement</w:t>
            </w:r>
          </w:p>
        </w:tc>
        <w:tc>
          <w:tcPr>
            <w:tcW w:w="1345" w:type="dxa"/>
            <w:shd w:val="clear" w:color="auto" w:fill="D9D9D9" w:themeFill="background1" w:themeFillShade="D9"/>
          </w:tcPr>
          <w:p w14:paraId="44E01A90" w14:textId="77777777" w:rsidR="00384866" w:rsidRPr="00384866" w:rsidRDefault="00384866" w:rsidP="00384866">
            <w:pPr>
              <w:spacing w:after="0" w:line="240" w:lineRule="auto"/>
              <w:jc w:val="center"/>
              <w:rPr>
                <w:rFonts w:ascii="Arial" w:eastAsia="Times New Roman" w:hAnsi="Arial" w:cs="Arial"/>
                <w:b/>
                <w:sz w:val="20"/>
                <w:szCs w:val="20"/>
              </w:rPr>
            </w:pPr>
          </w:p>
          <w:p w14:paraId="6467EE3C" w14:textId="77777777" w:rsidR="00384866" w:rsidRPr="00384866" w:rsidRDefault="00384866" w:rsidP="00384866">
            <w:pPr>
              <w:spacing w:after="0" w:line="240" w:lineRule="auto"/>
              <w:jc w:val="center"/>
              <w:rPr>
                <w:rFonts w:ascii="Arial" w:eastAsia="Times New Roman" w:hAnsi="Arial" w:cs="Arial"/>
                <w:b/>
                <w:sz w:val="20"/>
                <w:szCs w:val="20"/>
              </w:rPr>
            </w:pPr>
            <w:r w:rsidRPr="00384866">
              <w:rPr>
                <w:rFonts w:ascii="Arial" w:eastAsia="Times New Roman" w:hAnsi="Arial" w:cs="Arial"/>
                <w:b/>
                <w:sz w:val="20"/>
                <w:szCs w:val="20"/>
              </w:rPr>
              <w:t>Reference</w:t>
            </w:r>
          </w:p>
        </w:tc>
        <w:tc>
          <w:tcPr>
            <w:tcW w:w="1458" w:type="dxa"/>
            <w:shd w:val="clear" w:color="auto" w:fill="D9D9D9" w:themeFill="background1" w:themeFillShade="D9"/>
          </w:tcPr>
          <w:p w14:paraId="022B7188" w14:textId="77777777" w:rsidR="00384866" w:rsidRPr="00384866" w:rsidRDefault="00384866" w:rsidP="00384866">
            <w:pPr>
              <w:spacing w:after="0" w:line="240" w:lineRule="auto"/>
              <w:jc w:val="center"/>
              <w:rPr>
                <w:rFonts w:ascii="Arial" w:eastAsia="Times New Roman" w:hAnsi="Arial" w:cs="Arial"/>
                <w:b/>
                <w:sz w:val="20"/>
                <w:szCs w:val="20"/>
              </w:rPr>
            </w:pPr>
            <w:r w:rsidRPr="00384866">
              <w:rPr>
                <w:rFonts w:ascii="Arial" w:eastAsia="Times New Roman" w:hAnsi="Arial" w:cs="Arial"/>
                <w:b/>
                <w:sz w:val="20"/>
                <w:szCs w:val="20"/>
              </w:rPr>
              <w:t>Addressed</w:t>
            </w:r>
          </w:p>
          <w:p w14:paraId="57AF19F0" w14:textId="77777777" w:rsidR="00384866" w:rsidRPr="00384866" w:rsidRDefault="00384866" w:rsidP="00384866">
            <w:pPr>
              <w:spacing w:after="0" w:line="240" w:lineRule="auto"/>
              <w:jc w:val="center"/>
              <w:rPr>
                <w:rFonts w:ascii="Arial" w:eastAsia="Times New Roman" w:hAnsi="Arial" w:cs="Arial"/>
                <w:b/>
                <w:sz w:val="20"/>
                <w:szCs w:val="20"/>
              </w:rPr>
            </w:pPr>
            <w:r w:rsidRPr="00384866">
              <w:rPr>
                <w:rFonts w:ascii="Arial" w:eastAsia="Times New Roman" w:hAnsi="Arial" w:cs="Arial"/>
                <w:b/>
                <w:sz w:val="20"/>
                <w:szCs w:val="20"/>
              </w:rPr>
              <w:t>in Section</w:t>
            </w:r>
          </w:p>
        </w:tc>
      </w:tr>
      <w:tr w:rsidR="00384866" w:rsidRPr="00384866" w14:paraId="403469F2" w14:textId="77777777" w:rsidTr="007560C8">
        <w:tc>
          <w:tcPr>
            <w:tcW w:w="1998" w:type="dxa"/>
          </w:tcPr>
          <w:p w14:paraId="02D03FEA"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Maintenance demonstration</w:t>
            </w:r>
          </w:p>
        </w:tc>
        <w:tc>
          <w:tcPr>
            <w:tcW w:w="4055" w:type="dxa"/>
          </w:tcPr>
          <w:p w14:paraId="0A30B7F9"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Provide for maintenance of the relevant NAAQS in the area for at least 10 years after redesignation.</w:t>
            </w:r>
          </w:p>
        </w:tc>
        <w:tc>
          <w:tcPr>
            <w:tcW w:w="1345" w:type="dxa"/>
          </w:tcPr>
          <w:p w14:paraId="0A0E7546"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CAA: 175A(a)</w:t>
            </w:r>
          </w:p>
        </w:tc>
        <w:tc>
          <w:tcPr>
            <w:tcW w:w="1458" w:type="dxa"/>
          </w:tcPr>
          <w:p w14:paraId="67B5B02C" w14:textId="7CDFD39F"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IX.A.</w:t>
            </w:r>
            <w:r w:rsidR="00D00540">
              <w:rPr>
                <w:rFonts w:ascii="Arial" w:eastAsia="Times New Roman" w:hAnsi="Arial" w:cs="Arial"/>
                <w:sz w:val="20"/>
                <w:szCs w:val="20"/>
              </w:rPr>
              <w:t>36</w:t>
            </w:r>
            <w:r w:rsidRPr="00384866">
              <w:rPr>
                <w:rFonts w:ascii="Arial" w:eastAsia="Times New Roman" w:hAnsi="Arial" w:cs="Arial"/>
                <w:sz w:val="20"/>
                <w:szCs w:val="20"/>
              </w:rPr>
              <w:t>.c (1)</w:t>
            </w:r>
          </w:p>
        </w:tc>
      </w:tr>
      <w:tr w:rsidR="00384866" w:rsidRPr="00384866" w14:paraId="7B0666B1" w14:textId="77777777" w:rsidTr="007560C8">
        <w:tc>
          <w:tcPr>
            <w:tcW w:w="1998" w:type="dxa"/>
          </w:tcPr>
          <w:p w14:paraId="35D13352"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Revise in 8 Years</w:t>
            </w:r>
          </w:p>
        </w:tc>
        <w:tc>
          <w:tcPr>
            <w:tcW w:w="4055" w:type="dxa"/>
          </w:tcPr>
          <w:p w14:paraId="35AA926D"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The State must submit an additional revision to the plan, 8 years after redesignation, showing an additional 10 years of maintenance.</w:t>
            </w:r>
          </w:p>
        </w:tc>
        <w:tc>
          <w:tcPr>
            <w:tcW w:w="1345" w:type="dxa"/>
          </w:tcPr>
          <w:p w14:paraId="6BC03DEE"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CAA: 175A(b)</w:t>
            </w:r>
          </w:p>
        </w:tc>
        <w:tc>
          <w:tcPr>
            <w:tcW w:w="1458" w:type="dxa"/>
          </w:tcPr>
          <w:p w14:paraId="4914C799" w14:textId="1F86B643"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IX.A.</w:t>
            </w:r>
            <w:r w:rsidR="00D00540">
              <w:rPr>
                <w:rFonts w:ascii="Arial" w:eastAsia="Times New Roman" w:hAnsi="Arial" w:cs="Arial"/>
                <w:sz w:val="20"/>
                <w:szCs w:val="20"/>
              </w:rPr>
              <w:t>36</w:t>
            </w:r>
            <w:r w:rsidRPr="00384866">
              <w:rPr>
                <w:rFonts w:ascii="Arial" w:eastAsia="Times New Roman" w:hAnsi="Arial" w:cs="Arial"/>
                <w:sz w:val="20"/>
                <w:szCs w:val="20"/>
              </w:rPr>
              <w:t>.c (6)</w:t>
            </w:r>
          </w:p>
          <w:p w14:paraId="3D3A2767" w14:textId="77777777" w:rsidR="00384866" w:rsidRPr="00384866" w:rsidRDefault="00384866" w:rsidP="00384866">
            <w:pPr>
              <w:spacing w:after="0" w:line="240" w:lineRule="auto"/>
              <w:rPr>
                <w:rFonts w:ascii="Arial" w:eastAsia="Times New Roman" w:hAnsi="Arial" w:cs="Arial"/>
                <w:sz w:val="20"/>
                <w:szCs w:val="20"/>
              </w:rPr>
            </w:pPr>
          </w:p>
        </w:tc>
      </w:tr>
      <w:tr w:rsidR="00384866" w:rsidRPr="00384866" w14:paraId="6D28FE1A" w14:textId="77777777" w:rsidTr="007560C8">
        <w:tc>
          <w:tcPr>
            <w:tcW w:w="1998" w:type="dxa"/>
          </w:tcPr>
          <w:p w14:paraId="3F9E910F"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Continued Implementation of Nonattainment Area Control Strategy</w:t>
            </w:r>
          </w:p>
        </w:tc>
        <w:tc>
          <w:tcPr>
            <w:tcW w:w="4055" w:type="dxa"/>
          </w:tcPr>
          <w:p w14:paraId="412FB08F"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The Clean Air Act requires continued implementation of the NAA control strategy unless such measures are shown to be unnecessary for maintenance or are replaced with measures that achieve equivalent reductions.</w:t>
            </w:r>
          </w:p>
        </w:tc>
        <w:tc>
          <w:tcPr>
            <w:tcW w:w="1345" w:type="dxa"/>
          </w:tcPr>
          <w:p w14:paraId="5D953C0F"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CAA:  175A(c)</w:t>
            </w:r>
            <w:r w:rsidRPr="00384866">
              <w:rPr>
                <w:rFonts w:ascii="Arial" w:eastAsia="Times New Roman" w:hAnsi="Arial" w:cs="Arial"/>
                <w:b/>
                <w:bCs/>
                <w:sz w:val="20"/>
                <w:szCs w:val="20"/>
              </w:rPr>
              <w:t xml:space="preserve">, </w:t>
            </w:r>
            <w:r w:rsidRPr="00384866">
              <w:rPr>
                <w:rFonts w:ascii="Arial" w:eastAsia="Times New Roman" w:hAnsi="Arial" w:cs="Arial"/>
                <w:sz w:val="20"/>
                <w:szCs w:val="20"/>
              </w:rPr>
              <w:t>110(l), Calcagni memo</w:t>
            </w:r>
          </w:p>
        </w:tc>
        <w:tc>
          <w:tcPr>
            <w:tcW w:w="1458" w:type="dxa"/>
          </w:tcPr>
          <w:p w14:paraId="412DEAAF" w14:textId="6CC3EB1F"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IX.A.</w:t>
            </w:r>
            <w:r w:rsidR="00D00540">
              <w:rPr>
                <w:rFonts w:ascii="Arial" w:eastAsia="Times New Roman" w:hAnsi="Arial" w:cs="Arial"/>
                <w:sz w:val="20"/>
                <w:szCs w:val="20"/>
              </w:rPr>
              <w:t>36</w:t>
            </w:r>
            <w:r w:rsidRPr="00384866">
              <w:rPr>
                <w:rFonts w:ascii="Arial" w:eastAsia="Times New Roman" w:hAnsi="Arial" w:cs="Arial"/>
                <w:sz w:val="20"/>
                <w:szCs w:val="20"/>
              </w:rPr>
              <w:t>.c (5)</w:t>
            </w:r>
          </w:p>
          <w:p w14:paraId="1991103F"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color w:val="00B050"/>
                <w:sz w:val="20"/>
                <w:szCs w:val="20"/>
              </w:rPr>
              <w:t xml:space="preserve">                  </w:t>
            </w:r>
          </w:p>
        </w:tc>
      </w:tr>
      <w:tr w:rsidR="00384866" w:rsidRPr="00384866" w14:paraId="2C390969" w14:textId="77777777" w:rsidTr="007560C8">
        <w:tc>
          <w:tcPr>
            <w:tcW w:w="1998" w:type="dxa"/>
          </w:tcPr>
          <w:p w14:paraId="58A914A5"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Contingency Measures</w:t>
            </w:r>
          </w:p>
        </w:tc>
        <w:tc>
          <w:tcPr>
            <w:tcW w:w="4055" w:type="dxa"/>
          </w:tcPr>
          <w:p w14:paraId="6989D8AD"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Areas seeking redesignation from nonattainment to attainment are required to develop contingency measures that include State commitments to implement additional control measures in response to future violations of the NAAQS.</w:t>
            </w:r>
          </w:p>
        </w:tc>
        <w:tc>
          <w:tcPr>
            <w:tcW w:w="1345" w:type="dxa"/>
          </w:tcPr>
          <w:p w14:paraId="684A63C6"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CAA:  Sec 175A(d)</w:t>
            </w:r>
          </w:p>
        </w:tc>
        <w:tc>
          <w:tcPr>
            <w:tcW w:w="1458" w:type="dxa"/>
          </w:tcPr>
          <w:p w14:paraId="08E29799" w14:textId="463F5CB6"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IX.A.</w:t>
            </w:r>
            <w:r w:rsidR="00D00540">
              <w:rPr>
                <w:rFonts w:ascii="Arial" w:eastAsia="Times New Roman" w:hAnsi="Arial" w:cs="Arial"/>
                <w:sz w:val="20"/>
                <w:szCs w:val="20"/>
              </w:rPr>
              <w:t>36</w:t>
            </w:r>
            <w:r w:rsidRPr="00384866">
              <w:rPr>
                <w:rFonts w:ascii="Arial" w:eastAsia="Times New Roman" w:hAnsi="Arial" w:cs="Arial"/>
                <w:sz w:val="20"/>
                <w:szCs w:val="20"/>
              </w:rPr>
              <w:t>.c (8)</w:t>
            </w:r>
          </w:p>
          <w:p w14:paraId="77DE74F0" w14:textId="77777777" w:rsidR="00384866" w:rsidRPr="00384866" w:rsidRDefault="00384866" w:rsidP="00384866">
            <w:pPr>
              <w:spacing w:after="0" w:line="240" w:lineRule="auto"/>
              <w:rPr>
                <w:rFonts w:ascii="Arial" w:eastAsia="Times New Roman" w:hAnsi="Arial" w:cs="Arial"/>
                <w:sz w:val="20"/>
                <w:szCs w:val="20"/>
              </w:rPr>
            </w:pPr>
          </w:p>
        </w:tc>
      </w:tr>
      <w:tr w:rsidR="00384866" w:rsidRPr="00384866" w14:paraId="338E12ED" w14:textId="77777777" w:rsidTr="007560C8">
        <w:tc>
          <w:tcPr>
            <w:tcW w:w="1998" w:type="dxa"/>
          </w:tcPr>
          <w:p w14:paraId="232ABC1D"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Verification of Continued Maintenance</w:t>
            </w:r>
          </w:p>
        </w:tc>
        <w:tc>
          <w:tcPr>
            <w:tcW w:w="4055" w:type="dxa"/>
          </w:tcPr>
          <w:p w14:paraId="397F7C80"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The maintenance plan must indicate how the State will track the progress of the maintenance plan.</w:t>
            </w:r>
          </w:p>
        </w:tc>
        <w:tc>
          <w:tcPr>
            <w:tcW w:w="1345" w:type="dxa"/>
          </w:tcPr>
          <w:p w14:paraId="6AD81DC7" w14:textId="77777777"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Calcagni memo</w:t>
            </w:r>
          </w:p>
        </w:tc>
        <w:tc>
          <w:tcPr>
            <w:tcW w:w="1458" w:type="dxa"/>
          </w:tcPr>
          <w:p w14:paraId="7FFB4EFB" w14:textId="147EBAE9" w:rsidR="00384866" w:rsidRPr="00384866" w:rsidRDefault="00384866" w:rsidP="00384866">
            <w:pPr>
              <w:spacing w:after="0" w:line="240" w:lineRule="auto"/>
              <w:rPr>
                <w:rFonts w:ascii="Arial" w:eastAsia="Times New Roman" w:hAnsi="Arial" w:cs="Arial"/>
                <w:sz w:val="20"/>
                <w:szCs w:val="20"/>
              </w:rPr>
            </w:pPr>
            <w:r w:rsidRPr="00384866">
              <w:rPr>
                <w:rFonts w:ascii="Arial" w:eastAsia="Times New Roman" w:hAnsi="Arial" w:cs="Arial"/>
                <w:sz w:val="20"/>
                <w:szCs w:val="20"/>
              </w:rPr>
              <w:t>IX.A.</w:t>
            </w:r>
            <w:r w:rsidR="00D00540">
              <w:rPr>
                <w:rFonts w:ascii="Arial" w:eastAsia="Times New Roman" w:hAnsi="Arial" w:cs="Arial"/>
                <w:sz w:val="20"/>
                <w:szCs w:val="20"/>
              </w:rPr>
              <w:t>36</w:t>
            </w:r>
            <w:r w:rsidRPr="00384866">
              <w:rPr>
                <w:rFonts w:ascii="Arial" w:eastAsia="Times New Roman" w:hAnsi="Arial" w:cs="Arial"/>
                <w:sz w:val="20"/>
                <w:szCs w:val="20"/>
              </w:rPr>
              <w:t>.c (7)</w:t>
            </w:r>
          </w:p>
          <w:p w14:paraId="6711DE67" w14:textId="77777777" w:rsidR="00384866" w:rsidRPr="00384866" w:rsidRDefault="00384866" w:rsidP="00C5554D">
            <w:pPr>
              <w:keepNext/>
              <w:spacing w:after="0" w:line="240" w:lineRule="auto"/>
              <w:rPr>
                <w:rFonts w:ascii="Arial" w:eastAsia="Times New Roman" w:hAnsi="Arial" w:cs="Arial"/>
                <w:sz w:val="20"/>
                <w:szCs w:val="20"/>
              </w:rPr>
            </w:pPr>
          </w:p>
        </w:tc>
      </w:tr>
    </w:tbl>
    <w:p w14:paraId="6C78CB16" w14:textId="17F0EB87" w:rsidR="00384866" w:rsidRPr="00113E09" w:rsidRDefault="00C5554D" w:rsidP="00C5554D">
      <w:pPr>
        <w:pStyle w:val="Caption"/>
        <w:rPr>
          <w:color w:val="auto"/>
        </w:rPr>
      </w:pPr>
      <w:bookmarkStart w:id="48" w:name="_Toc17268998"/>
      <w:r w:rsidRPr="00113E09">
        <w:rPr>
          <w:color w:val="auto"/>
        </w:rPr>
        <w:t xml:space="preserve">Table IX.A.36. </w:t>
      </w:r>
      <w:r w:rsidR="00767843" w:rsidRPr="00113E09">
        <w:rPr>
          <w:color w:val="auto"/>
        </w:rPr>
        <w:fldChar w:fldCharType="begin"/>
      </w:r>
      <w:r w:rsidR="00767843" w:rsidRPr="00113E09">
        <w:rPr>
          <w:color w:val="auto"/>
        </w:rPr>
        <w:instrText xml:space="preserve"> SEQ Table_IX.A.36. \* ARABIC </w:instrText>
      </w:r>
      <w:r w:rsidR="00767843" w:rsidRPr="00113E09">
        <w:rPr>
          <w:color w:val="auto"/>
        </w:rPr>
        <w:fldChar w:fldCharType="separate"/>
      </w:r>
      <w:r w:rsidR="00767843">
        <w:rPr>
          <w:noProof/>
          <w:color w:val="auto"/>
        </w:rPr>
        <w:t>8</w:t>
      </w:r>
      <w:r w:rsidR="00767843" w:rsidRPr="00113E09">
        <w:rPr>
          <w:noProof/>
          <w:color w:val="auto"/>
        </w:rPr>
        <w:fldChar w:fldCharType="end"/>
      </w:r>
      <w:r w:rsidRPr="00113E09">
        <w:rPr>
          <w:color w:val="auto"/>
        </w:rPr>
        <w:t xml:space="preserve"> CAA Maintenance Plan Requirements</w:t>
      </w:r>
      <w:bookmarkEnd w:id="48"/>
    </w:p>
    <w:p w14:paraId="711405A6" w14:textId="57308032" w:rsidR="00384866" w:rsidRPr="00306BC8" w:rsidRDefault="00384866" w:rsidP="00306BC8">
      <w:pPr>
        <w:pStyle w:val="Heading2"/>
      </w:pPr>
      <w:bookmarkStart w:id="49" w:name="_Toc15907107"/>
      <w:bookmarkStart w:id="50" w:name="_Toc17268969"/>
      <w:r w:rsidRPr="00306BC8">
        <w:t>(1) Demonstration of Maintenance - Modeling Analysis</w:t>
      </w:r>
      <w:bookmarkEnd w:id="49"/>
      <w:bookmarkEnd w:id="50"/>
      <w:r w:rsidRPr="00306BC8">
        <w:t xml:space="preserve"> </w:t>
      </w:r>
    </w:p>
    <w:p w14:paraId="2829987C" w14:textId="473B0140" w:rsidR="00384866" w:rsidRPr="00384866" w:rsidRDefault="00384866" w:rsidP="00384866">
      <w:r w:rsidRPr="00384866">
        <w:rPr>
          <w:i/>
        </w:rPr>
        <w:t>CAA 175A(a) - Each State which submits a request under section 107(d) for redesignation of a nonattainment area as an area which has attained the NAAQS shall also submit a revision of the applicable implementation plan to provide for maintenance of the NAAQS for at least 10 years after the redesignation. The plan shall contain such additional measures, if any, as may be required to ensure such maintenance.</w:t>
      </w:r>
      <w:r w:rsidRPr="00384866">
        <w:t xml:space="preserve"> The maintenance demonstration is discussed in EPA guidance</w:t>
      </w:r>
      <w:r w:rsidRPr="00384866">
        <w:rPr>
          <w:rFonts w:eastAsia="Times New Roman" w:cs="Times New Roman"/>
          <w:vertAlign w:val="superscript"/>
        </w:rPr>
        <w:footnoteReference w:id="15"/>
      </w:r>
      <w:r w:rsidRPr="00384866">
        <w:t xml:space="preserve"> as one of the core provisions that should be considered by states for inclusion in a maintenance plan.</w:t>
      </w:r>
    </w:p>
    <w:p w14:paraId="5ECB852B" w14:textId="77777777" w:rsidR="00384866" w:rsidRPr="00384866" w:rsidRDefault="00384866" w:rsidP="00384866">
      <w:r w:rsidRPr="00384866">
        <w:t xml:space="preserve"> According to the EPA guidance, a State may generally demonstrate maintenance of the NAAQS by either showing that future emissions of a pollutant or its precursors will not exceed the level of the attainment inventory (discussed below) or by modeling to show that the future mix of sources and </w:t>
      </w:r>
      <w:r w:rsidRPr="00384866">
        <w:lastRenderedPageBreak/>
        <w:t xml:space="preserve">emission rates will not cause a violation of the NAAQS.  Utah has elected to make its demonstration based on air quality modeling.  </w:t>
      </w:r>
    </w:p>
    <w:p w14:paraId="40C09E55" w14:textId="7FDA5464" w:rsidR="00384866" w:rsidRPr="00306BC8" w:rsidRDefault="00384866" w:rsidP="00306BC8">
      <w:pPr>
        <w:pStyle w:val="Heading3"/>
        <w:numPr>
          <w:ilvl w:val="0"/>
          <w:numId w:val="0"/>
        </w:numPr>
        <w:ind w:left="720" w:hanging="360"/>
      </w:pPr>
      <w:bookmarkStart w:id="51" w:name="_Toc15907108"/>
      <w:bookmarkStart w:id="52" w:name="_Toc17268970"/>
      <w:r w:rsidRPr="00306BC8">
        <w:t>(a) Introduction</w:t>
      </w:r>
      <w:bookmarkEnd w:id="51"/>
      <w:bookmarkEnd w:id="52"/>
      <w:r w:rsidRPr="00306BC8">
        <w:t xml:space="preserve"> </w:t>
      </w:r>
    </w:p>
    <w:p w14:paraId="3887094F" w14:textId="1F324300" w:rsidR="00384866" w:rsidRPr="00384866" w:rsidRDefault="00384866" w:rsidP="00384866">
      <w:r w:rsidRPr="00384866">
        <w:t xml:space="preserve">The following chapter presents an analysis using observational datasets to detail the chemical regimes of Utah’s NAAs. Prior to the develop of this maintenance plan, UDAQ conducted a technical analysis to support the development of the </w:t>
      </w:r>
      <w:r w:rsidR="00542D13">
        <w:t>s</w:t>
      </w:r>
      <w:r w:rsidRPr="00384866">
        <w:t>erious SIP for the SLC NAA. The analysis included preparation of emissions inventories and meteorological data, and the evaluation and application of a regional photochemical model. Part of this process included episode selection to determine the episode that most accurately replicates the photochemical formation of ambient PM</w:t>
      </w:r>
      <w:r w:rsidRPr="00384866">
        <w:rPr>
          <w:vertAlign w:val="subscript"/>
        </w:rPr>
        <w:t>2.5</w:t>
      </w:r>
      <w:r w:rsidRPr="00384866">
        <w:t xml:space="preserve"> during a persistent cold air pool episode in the airshed. For this maintenance plan, UDAQ is using the same episode that was used for the </w:t>
      </w:r>
      <w:r w:rsidR="00542D13">
        <w:t>s</w:t>
      </w:r>
      <w:r w:rsidRPr="00384866">
        <w:t>erious SIP modeling.</w:t>
      </w:r>
    </w:p>
    <w:p w14:paraId="2F7CDACA" w14:textId="77777777" w:rsidR="00384866" w:rsidRPr="00306BC8" w:rsidRDefault="00384866" w:rsidP="00306BC8">
      <w:pPr>
        <w:pStyle w:val="Heading3"/>
        <w:numPr>
          <w:ilvl w:val="0"/>
          <w:numId w:val="0"/>
        </w:numPr>
        <w:ind w:left="720" w:hanging="360"/>
      </w:pPr>
      <w:bookmarkStart w:id="53" w:name="_Toc15907109"/>
      <w:bookmarkStart w:id="54" w:name="_Toc17268971"/>
      <w:bookmarkStart w:id="55" w:name="_Hlk15901526"/>
      <w:r w:rsidRPr="00306BC8">
        <w:t>(b) Photochemical Modeling</w:t>
      </w:r>
      <w:bookmarkEnd w:id="53"/>
      <w:bookmarkEnd w:id="54"/>
      <w:r w:rsidRPr="00306BC8">
        <w:t xml:space="preserve"> </w:t>
      </w:r>
    </w:p>
    <w:bookmarkEnd w:id="55"/>
    <w:p w14:paraId="63E24EF9" w14:textId="77777777" w:rsidR="00384866" w:rsidRPr="00384866" w:rsidRDefault="00384866" w:rsidP="00384866">
      <w:pPr>
        <w:rPr>
          <w:lang w:val="en"/>
        </w:rPr>
      </w:pPr>
      <w:r w:rsidRPr="00384866">
        <w:rPr>
          <w:lang w:val="en"/>
        </w:rPr>
        <w:t>UDAQ used the Comprehensive Air Quality Model with Extensions (CAMx) version 6.30 for air quality modeling. CAMx v6.30 is a state-of-the-art air quality model that includes State of Utah funded enhancements for wintertime modeling. These enhancements include snow chemistry, topographical and surface albedo refinements. CAMx is an EPA approved model for use in SIP modeling. Its configuration for use in this SIP, with respect to model options and model adjustments, is discussed in the Technical Support Document.</w:t>
      </w:r>
    </w:p>
    <w:p w14:paraId="7BFC8D41" w14:textId="77777777" w:rsidR="00384866" w:rsidRPr="00552C5A" w:rsidRDefault="00384866" w:rsidP="0054777F">
      <w:pPr>
        <w:pStyle w:val="Heading4"/>
        <w:numPr>
          <w:ilvl w:val="0"/>
          <w:numId w:val="45"/>
        </w:numPr>
      </w:pPr>
      <w:bookmarkStart w:id="56" w:name="_Toc15907110"/>
      <w:bookmarkStart w:id="57" w:name="_Toc17268972"/>
      <w:bookmarkStart w:id="58" w:name="_Hlk15891551"/>
      <w:r w:rsidRPr="00552C5A">
        <w:t>Emissions Preparation</w:t>
      </w:r>
      <w:bookmarkEnd w:id="56"/>
      <w:bookmarkEnd w:id="57"/>
    </w:p>
    <w:bookmarkEnd w:id="58"/>
    <w:p w14:paraId="22C3FEE9" w14:textId="77777777" w:rsidR="00384866" w:rsidRPr="00384866" w:rsidRDefault="00384866" w:rsidP="00384866">
      <w:pPr>
        <w:rPr>
          <w:lang w:val="en"/>
        </w:rPr>
      </w:pPr>
      <w:r w:rsidRPr="00384866">
        <w:rPr>
          <w:lang w:val="en"/>
        </w:rPr>
        <w:t>The emissions processing model used in conjunction with CAMx is the Sparse Matrix Operator Kernel Emissions Modeling System (SMOKE) version 3.6.5</w:t>
      </w:r>
      <w:r w:rsidRPr="00384866">
        <w:rPr>
          <w:vertAlign w:val="superscript"/>
          <w:lang w:val="en"/>
        </w:rPr>
        <w:footnoteReference w:id="16"/>
      </w:r>
      <w:r w:rsidRPr="00384866">
        <w:rPr>
          <w:lang w:val="en"/>
        </w:rPr>
        <w:t>. SMOKE prepares the annual emissions inventory for use in the air quality model. There are three aspects to the preparation of an annual emissions inventory for air quality modeling:</w:t>
      </w:r>
    </w:p>
    <w:p w14:paraId="5416F3B4" w14:textId="77777777" w:rsidR="00384866" w:rsidRPr="00384866" w:rsidRDefault="00384866" w:rsidP="00384866">
      <w:pPr>
        <w:numPr>
          <w:ilvl w:val="0"/>
          <w:numId w:val="22"/>
        </w:numPr>
        <w:rPr>
          <w:lang w:val="en"/>
        </w:rPr>
      </w:pPr>
      <w:r w:rsidRPr="00384866">
        <w:rPr>
          <w:lang w:val="en"/>
        </w:rPr>
        <w:t>Temporal:  Convert emissions from annual to daily, weekly and hourly values.</w:t>
      </w:r>
    </w:p>
    <w:p w14:paraId="0F903009" w14:textId="77777777" w:rsidR="00384866" w:rsidRPr="00384866" w:rsidRDefault="00384866" w:rsidP="00384866">
      <w:pPr>
        <w:numPr>
          <w:ilvl w:val="0"/>
          <w:numId w:val="22"/>
        </w:numPr>
        <w:rPr>
          <w:lang w:val="en"/>
        </w:rPr>
      </w:pPr>
      <w:r w:rsidRPr="00384866">
        <w:rPr>
          <w:lang w:val="en"/>
        </w:rPr>
        <w:t>Spatial:  Convert emissions from a county-wide average to gridded emissions.</w:t>
      </w:r>
    </w:p>
    <w:p w14:paraId="298F9579" w14:textId="77777777" w:rsidR="00384866" w:rsidRPr="00384866" w:rsidRDefault="00384866" w:rsidP="00384866">
      <w:pPr>
        <w:numPr>
          <w:ilvl w:val="0"/>
          <w:numId w:val="22"/>
        </w:numPr>
        <w:rPr>
          <w:lang w:val="en"/>
        </w:rPr>
      </w:pPr>
      <w:r w:rsidRPr="00384866">
        <w:rPr>
          <w:lang w:val="en"/>
        </w:rPr>
        <w:t>Speciation:  Decompose PM</w:t>
      </w:r>
      <w:r w:rsidRPr="00384866">
        <w:rPr>
          <w:vertAlign w:val="subscript"/>
          <w:lang w:val="en"/>
        </w:rPr>
        <w:t>2.5</w:t>
      </w:r>
      <w:r w:rsidRPr="00384866">
        <w:rPr>
          <w:lang w:val="en"/>
        </w:rPr>
        <w:t xml:space="preserve"> and VOC emissions estimates into individual subspecies using the latest Carbon Bond 6 speciation profiles.</w:t>
      </w:r>
    </w:p>
    <w:p w14:paraId="04661263" w14:textId="77777777" w:rsidR="00384866" w:rsidRPr="00384866" w:rsidRDefault="00384866" w:rsidP="00384866">
      <w:pPr>
        <w:rPr>
          <w:lang w:val="en"/>
        </w:rPr>
      </w:pPr>
      <w:r w:rsidRPr="00384866">
        <w:rPr>
          <w:lang w:val="en"/>
        </w:rPr>
        <w:t>The process of breaking down emissions for the air quality model was done with sets of activity profiles and associated cross reference files. These are created for point or large industrial source emissions, smaller area sources, and mobile sources. Direct PM</w:t>
      </w:r>
      <w:r w:rsidRPr="00384866">
        <w:rPr>
          <w:vertAlign w:val="subscript"/>
          <w:lang w:val="en"/>
        </w:rPr>
        <w:t>2.5</w:t>
      </w:r>
      <w:r w:rsidRPr="00384866">
        <w:rPr>
          <w:lang w:val="en"/>
        </w:rPr>
        <w:t xml:space="preserve"> and PM</w:t>
      </w:r>
      <w:r w:rsidRPr="00384866">
        <w:rPr>
          <w:vertAlign w:val="subscript"/>
          <w:lang w:val="en"/>
        </w:rPr>
        <w:t>2.5</w:t>
      </w:r>
      <w:r w:rsidRPr="00384866">
        <w:rPr>
          <w:lang w:val="en"/>
        </w:rPr>
        <w:t xml:space="preserve"> precursor estimates were modified via temporal profiles to reflect wintertime conditions. </w:t>
      </w:r>
    </w:p>
    <w:p w14:paraId="5ADC01C2" w14:textId="77777777" w:rsidR="00384866" w:rsidRPr="00384866" w:rsidRDefault="00384866" w:rsidP="00384866">
      <w:pPr>
        <w:rPr>
          <w:lang w:val="en"/>
        </w:rPr>
      </w:pPr>
      <w:r w:rsidRPr="00384866">
        <w:rPr>
          <w:lang w:val="en"/>
        </w:rPr>
        <w:t>Activity profiles and their associated cross reference files from the EPA’s 2011v6</w:t>
      </w:r>
      <w:r w:rsidRPr="00384866">
        <w:rPr>
          <w:vertAlign w:val="superscript"/>
          <w:lang w:val="en"/>
        </w:rPr>
        <w:footnoteReference w:id="17"/>
      </w:r>
      <w:r w:rsidRPr="00384866">
        <w:rPr>
          <w:lang w:val="en"/>
        </w:rPr>
        <w:t xml:space="preserve"> modeling platform were used. For stationary non-point and mobile sources, spatial surrogates from the EPA Clearinghouse </w:t>
      </w:r>
      <w:r w:rsidRPr="00384866">
        <w:rPr>
          <w:lang w:val="en"/>
        </w:rPr>
        <w:lastRenderedPageBreak/>
        <w:t>for Inventories and Emissions Factors (CHIEF</w:t>
      </w:r>
      <w:r w:rsidRPr="00384866">
        <w:rPr>
          <w:vertAlign w:val="superscript"/>
          <w:lang w:val="en"/>
        </w:rPr>
        <w:footnoteReference w:id="18"/>
      </w:r>
      <w:r w:rsidRPr="00384866">
        <w:rPr>
          <w:lang w:val="en"/>
        </w:rPr>
        <w:t>) were used to distribute emissions in space across the modeling domain. Emissions from large industrial sources (point sources) were placed at the location of the source itself. Where reliable local information was available (population density, traffic demand modeling, residential heating), profiles and surrogates were modified or developed to reflect that information.</w:t>
      </w:r>
    </w:p>
    <w:p w14:paraId="453C463E" w14:textId="77777777" w:rsidR="00384866" w:rsidRPr="0054777F" w:rsidRDefault="00384866" w:rsidP="0054777F">
      <w:pPr>
        <w:pStyle w:val="Heading4"/>
        <w:rPr>
          <w:lang w:val="en"/>
        </w:rPr>
      </w:pPr>
      <w:bookmarkStart w:id="59" w:name="_Toc15907111"/>
      <w:bookmarkStart w:id="60" w:name="_Toc17268973"/>
      <w:bookmarkStart w:id="61" w:name="_Toc522890984"/>
      <w:r w:rsidRPr="0054777F">
        <w:rPr>
          <w:lang w:val="en"/>
        </w:rPr>
        <w:t>Photochemical Modeling Domains and Grid Resolution</w:t>
      </w:r>
      <w:bookmarkEnd w:id="59"/>
      <w:bookmarkEnd w:id="60"/>
    </w:p>
    <w:bookmarkEnd w:id="61"/>
    <w:p w14:paraId="345F9F67" w14:textId="31AC5E4E" w:rsidR="00384866" w:rsidRPr="00384866" w:rsidRDefault="00384866" w:rsidP="00384866">
      <w:pPr>
        <w:rPr>
          <w:lang w:val="en"/>
        </w:rPr>
      </w:pPr>
      <w:r w:rsidRPr="00384866">
        <w:rPr>
          <w:lang w:val="en"/>
        </w:rPr>
        <w:t xml:space="preserve">The UDAQ CAMx </w:t>
      </w:r>
      <w:r w:rsidR="00085643">
        <w:rPr>
          <w:lang w:val="en"/>
        </w:rPr>
        <w:t>v</w:t>
      </w:r>
      <w:r w:rsidRPr="00384866">
        <w:rPr>
          <w:lang w:val="en"/>
        </w:rPr>
        <w:t>6.30 modeling framework consists of two spatial domains: a high-resolution 1.33 km domain nested inside of a coarser 4 km domain (</w:t>
      </w:r>
      <w:r w:rsidR="00C31809">
        <w:rPr>
          <w:lang w:val="en"/>
        </w:rPr>
        <w:t xml:space="preserve">see </w:t>
      </w:r>
      <w:r w:rsidR="00C31809" w:rsidRPr="007508C6">
        <w:rPr>
          <w:color w:val="0070C0"/>
          <w:lang w:val="en"/>
        </w:rPr>
        <w:t>Figure IX.A.36.</w:t>
      </w:r>
      <w:r w:rsidR="00574A1A" w:rsidRPr="007508C6">
        <w:rPr>
          <w:color w:val="0070C0"/>
          <w:lang w:val="en"/>
        </w:rPr>
        <w:t>4</w:t>
      </w:r>
      <w:r w:rsidRPr="00384866">
        <w:rPr>
          <w:lang w:val="en"/>
        </w:rPr>
        <w:t xml:space="preserve">). This configuration allows one to efficiently integrate regional effects with local impacts within the </w:t>
      </w:r>
      <w:r w:rsidRPr="00384866">
        <w:rPr>
          <w:color w:val="0070C0"/>
          <w:lang w:val="en"/>
        </w:rPr>
        <w:t>SLC NAA</w:t>
      </w:r>
      <w:r w:rsidRPr="00384866">
        <w:rPr>
          <w:lang w:val="en"/>
        </w:rPr>
        <w:t>. Vertical resolution in the model consists of 41 layers extending to the top of the atmosphere.</w:t>
      </w:r>
    </w:p>
    <w:p w14:paraId="15CF98AA" w14:textId="77777777" w:rsidR="00C5554D" w:rsidRDefault="00384866" w:rsidP="00C5554D">
      <w:pPr>
        <w:keepNext/>
      </w:pPr>
      <w:r w:rsidRPr="00384866">
        <w:rPr>
          <w:noProof/>
        </w:rPr>
        <w:drawing>
          <wp:inline distT="114300" distB="114300" distL="114300" distR="114300" wp14:anchorId="2B241867" wp14:editId="211D1AFC">
            <wp:extent cx="5267325" cy="3429000"/>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267325" cy="3429000"/>
                    </a:xfrm>
                    <a:prstGeom prst="rect">
                      <a:avLst/>
                    </a:prstGeom>
                    <a:ln/>
                  </pic:spPr>
                </pic:pic>
              </a:graphicData>
            </a:graphic>
          </wp:inline>
        </w:drawing>
      </w:r>
    </w:p>
    <w:p w14:paraId="3D0B0615" w14:textId="4AFEB440" w:rsidR="00C5554D" w:rsidRPr="00113E09" w:rsidRDefault="00C5554D" w:rsidP="00C5554D">
      <w:pPr>
        <w:pStyle w:val="Caption"/>
        <w:rPr>
          <w:color w:val="auto"/>
          <w:lang w:val="en"/>
        </w:rPr>
      </w:pPr>
      <w:bookmarkStart w:id="62" w:name="_Toc17269006"/>
      <w:r w:rsidRPr="00113E09">
        <w:rPr>
          <w:color w:val="auto"/>
        </w:rPr>
        <w:t xml:space="preserve">Figure IX.A.36. </w:t>
      </w:r>
      <w:r w:rsidR="00767843" w:rsidRPr="00113E09">
        <w:rPr>
          <w:color w:val="auto"/>
        </w:rPr>
        <w:fldChar w:fldCharType="begin"/>
      </w:r>
      <w:r w:rsidR="00767843" w:rsidRPr="00113E09">
        <w:rPr>
          <w:color w:val="auto"/>
        </w:rPr>
        <w:instrText xml:space="preserve"> SEQ Figure_IX.A.36. \* ARABIC </w:instrText>
      </w:r>
      <w:r w:rsidR="00767843" w:rsidRPr="00113E09">
        <w:rPr>
          <w:color w:val="auto"/>
        </w:rPr>
        <w:fldChar w:fldCharType="separate"/>
      </w:r>
      <w:r w:rsidR="00767843">
        <w:rPr>
          <w:noProof/>
          <w:color w:val="auto"/>
        </w:rPr>
        <w:t>4</w:t>
      </w:r>
      <w:r w:rsidR="00767843" w:rsidRPr="00113E09">
        <w:rPr>
          <w:noProof/>
          <w:color w:val="auto"/>
        </w:rPr>
        <w:fldChar w:fldCharType="end"/>
      </w:r>
      <w:r w:rsidRPr="00113E09">
        <w:rPr>
          <w:color w:val="auto"/>
        </w:rPr>
        <w:t xml:space="preserve"> CAMx Photochemical Modeling Domains in Two-Way Nested Configuration</w:t>
      </w:r>
      <w:bookmarkEnd w:id="62"/>
    </w:p>
    <w:p w14:paraId="5372F4F4" w14:textId="2BD42242" w:rsidR="00384866" w:rsidRPr="00384866" w:rsidRDefault="00384866" w:rsidP="00C5554D">
      <w:pPr>
        <w:pStyle w:val="Caption"/>
      </w:pPr>
    </w:p>
    <w:p w14:paraId="09B099FB" w14:textId="52CB87C5" w:rsidR="00384866" w:rsidRPr="00384866" w:rsidRDefault="00384866" w:rsidP="00384866">
      <w:pPr>
        <w:rPr>
          <w:b/>
          <w:lang w:val="en"/>
        </w:rPr>
      </w:pPr>
      <w:r w:rsidRPr="00384866">
        <w:rPr>
          <w:lang w:val="en"/>
        </w:rPr>
        <w:t>The UDAQ 4 km coarse domain covers the entire state of Utah, a significant portion of Eastern Nevada (including Las Vegas), as well as smaller portions of Idaho, Wyoming, Colorado, and Arizona. The fine 1.33 km domain covers all of Utah’s three PM</w:t>
      </w:r>
      <w:r w:rsidRPr="00384866">
        <w:rPr>
          <w:vertAlign w:val="subscript"/>
          <w:lang w:val="en"/>
        </w:rPr>
        <w:t>2.5</w:t>
      </w:r>
      <w:r w:rsidRPr="00384866">
        <w:rPr>
          <w:lang w:val="en"/>
        </w:rPr>
        <w:t xml:space="preserve"> nonattainment areas, including the </w:t>
      </w:r>
      <w:r w:rsidR="00785048" w:rsidRPr="00B82DEB">
        <w:rPr>
          <w:color w:val="0070C0"/>
          <w:lang w:val="en"/>
        </w:rPr>
        <w:t>SLC</w:t>
      </w:r>
      <w:r w:rsidRPr="00B82DEB">
        <w:rPr>
          <w:color w:val="0070C0"/>
          <w:lang w:val="en"/>
        </w:rPr>
        <w:t xml:space="preserve"> NAA</w:t>
      </w:r>
      <w:r w:rsidRPr="00384866">
        <w:rPr>
          <w:lang w:val="en"/>
        </w:rPr>
        <w:t>. Throughout this document, we will refer to the fine 1.33 km domain as the “modeling domain” when the coarse domain is not specified.</w:t>
      </w:r>
    </w:p>
    <w:p w14:paraId="570FFA90" w14:textId="77777777" w:rsidR="00384866" w:rsidRPr="00384866" w:rsidRDefault="00384866" w:rsidP="0054777F">
      <w:pPr>
        <w:pStyle w:val="Heading4"/>
        <w:rPr>
          <w:lang w:val="en"/>
        </w:rPr>
      </w:pPr>
      <w:bookmarkStart w:id="63" w:name="_Toc15907112"/>
      <w:bookmarkStart w:id="64" w:name="_Toc17268974"/>
      <w:bookmarkStart w:id="65" w:name="_Toc522890985"/>
      <w:r w:rsidRPr="00384866">
        <w:rPr>
          <w:lang w:val="en"/>
        </w:rPr>
        <w:lastRenderedPageBreak/>
        <w:t>Meteorological Data</w:t>
      </w:r>
      <w:bookmarkEnd w:id="63"/>
      <w:bookmarkEnd w:id="64"/>
    </w:p>
    <w:bookmarkEnd w:id="65"/>
    <w:p w14:paraId="1B0C51FD" w14:textId="02A2486E" w:rsidR="00384866" w:rsidRPr="00384866" w:rsidRDefault="00384866" w:rsidP="00384866">
      <w:pPr>
        <w:rPr>
          <w:lang w:val="en"/>
        </w:rPr>
      </w:pPr>
      <w:r w:rsidRPr="00384866">
        <w:rPr>
          <w:lang w:val="en"/>
        </w:rPr>
        <w:t>Meteorological modeling was carried out by the University of Utah</w:t>
      </w:r>
      <w:r w:rsidR="003E4B3B">
        <w:rPr>
          <w:lang w:val="en"/>
        </w:rPr>
        <w:t xml:space="preserve"> (University)</w:t>
      </w:r>
      <w:r w:rsidRPr="00384866">
        <w:rPr>
          <w:lang w:val="en"/>
        </w:rPr>
        <w:t xml:space="preserve"> with financial support from UDAQ.</w:t>
      </w:r>
    </w:p>
    <w:p w14:paraId="42B20B0F" w14:textId="6F56409D" w:rsidR="00384866" w:rsidRPr="00384866" w:rsidRDefault="00384866" w:rsidP="00384866">
      <w:r w:rsidRPr="00384866">
        <w:t>Meteorological inputs were derived using</w:t>
      </w:r>
      <w:r w:rsidRPr="00384866">
        <w:rPr>
          <w:b/>
        </w:rPr>
        <w:t xml:space="preserve"> </w:t>
      </w:r>
      <w:r w:rsidRPr="00384866">
        <w:t xml:space="preserve">the Weather Research and </w:t>
      </w:r>
      <w:r w:rsidRPr="00384866">
        <w:rPr>
          <w:lang w:val="en"/>
        </w:rPr>
        <w:t>Forecasting</w:t>
      </w:r>
      <w:r w:rsidRPr="00384866">
        <w:rPr>
          <w:vertAlign w:val="superscript"/>
          <w:lang w:val="en"/>
        </w:rPr>
        <w:footnoteReference w:id="19"/>
      </w:r>
      <w:r w:rsidRPr="00384866">
        <w:rPr>
          <w:lang w:val="en"/>
        </w:rPr>
        <w:t xml:space="preserve"> </w:t>
      </w:r>
      <w:r w:rsidRPr="00384866">
        <w:t>(WRF) Advanced Research WRF (WRF-ARW)</w:t>
      </w:r>
      <w:r w:rsidRPr="00384866">
        <w:rPr>
          <w:lang w:val="en"/>
        </w:rPr>
        <w:t xml:space="preserve"> </w:t>
      </w:r>
      <w:r w:rsidR="00421F06">
        <w:rPr>
          <w:lang w:val="en"/>
        </w:rPr>
        <w:t>m</w:t>
      </w:r>
      <w:r w:rsidRPr="00384866">
        <w:rPr>
          <w:lang w:val="en"/>
        </w:rPr>
        <w:t>odel to prepare meteorological datasets for our use with the photochemical model</w:t>
      </w:r>
      <w:r w:rsidRPr="00384866">
        <w:t>.  WRF contains separate modules to compute different physical processes such as surface energy budgets and soil interactions, turbulence, cloud microphysics, and atmospheric radiation. Within WRF, the user has many options for selecting the different schemes for each type of physical process. There is also a WRF Preprocessing System (WPS) that generates the initial and boundary conditions used by WRF, based on topographic datasets, land use information, and larger-scale atmospheric and oceanic models.</w:t>
      </w:r>
    </w:p>
    <w:p w14:paraId="435F2879" w14:textId="462A62AE" w:rsidR="00384866" w:rsidRPr="00384866" w:rsidRDefault="00384866" w:rsidP="00384866">
      <w:bookmarkStart w:id="66" w:name="OLE_LINK1"/>
      <w:bookmarkStart w:id="67" w:name="OLE_LINK2"/>
      <w:r w:rsidRPr="00384866">
        <w:t xml:space="preserve">Model performance of WRF was assessed against observations at sites maintained by the University. WRF has reasonable ability to replicate the vertical temperature structure of the boundary layer (i.e., the temperature inversion), although it is difficult for WRF to reproduce the inversion when the inversion is shallow and strong (i.e., an </w:t>
      </w:r>
      <w:r w:rsidR="007251CF" w:rsidRPr="00384866">
        <w:t>8-degree</w:t>
      </w:r>
      <w:r w:rsidRPr="00384866">
        <w:t xml:space="preserve"> temperature increase over 100 vertical meters).</w:t>
      </w:r>
      <w:bookmarkEnd w:id="66"/>
      <w:bookmarkEnd w:id="67"/>
      <w:r w:rsidRPr="00384866">
        <w:t xml:space="preserve"> A summary of the performance evaluation results for WRF is included in the T</w:t>
      </w:r>
      <w:r w:rsidR="00421F06">
        <w:t>SD.</w:t>
      </w:r>
    </w:p>
    <w:p w14:paraId="34A0849F" w14:textId="460BB97A" w:rsidR="00384866" w:rsidRPr="00384866" w:rsidRDefault="00384866" w:rsidP="0054777F">
      <w:pPr>
        <w:pStyle w:val="Heading4"/>
        <w:rPr>
          <w:lang w:val="en"/>
        </w:rPr>
      </w:pPr>
      <w:bookmarkStart w:id="68" w:name="_Toc15907113"/>
      <w:bookmarkStart w:id="69" w:name="_Toc17268975"/>
      <w:r w:rsidRPr="00384866">
        <w:rPr>
          <w:lang w:val="en"/>
        </w:rPr>
        <w:t>Episode Selection</w:t>
      </w:r>
      <w:bookmarkEnd w:id="68"/>
      <w:bookmarkEnd w:id="69"/>
    </w:p>
    <w:p w14:paraId="0D0C995D" w14:textId="77777777" w:rsidR="00384866" w:rsidRPr="00384866" w:rsidRDefault="00384866" w:rsidP="00384866">
      <w:pPr>
        <w:rPr>
          <w:lang w:val="en"/>
        </w:rPr>
      </w:pPr>
      <w:r w:rsidRPr="00384866">
        <w:rPr>
          <w:lang w:val="en"/>
        </w:rPr>
        <w:t>Part of the modeling exercise involves a test to see whether the model can successfully replicate the PM</w:t>
      </w:r>
      <w:r w:rsidRPr="00384866">
        <w:rPr>
          <w:vertAlign w:val="subscript"/>
          <w:lang w:val="en"/>
        </w:rPr>
        <w:t>2.5</w:t>
      </w:r>
      <w:r w:rsidRPr="00384866">
        <w:rPr>
          <w:lang w:val="en"/>
        </w:rPr>
        <w:t xml:space="preserve"> mass and composition that was observed during prior episode(s) of elevated PM</w:t>
      </w:r>
      <w:r w:rsidRPr="00384866">
        <w:rPr>
          <w:vertAlign w:val="subscript"/>
          <w:lang w:val="en"/>
        </w:rPr>
        <w:t>2.5</w:t>
      </w:r>
      <w:r w:rsidRPr="00384866">
        <w:rPr>
          <w:lang w:val="en"/>
        </w:rPr>
        <w:t xml:space="preserve"> concentration. The selection of an appropriate episode, or episodes, for use in this exercise requires some forethought and should determine the meteorological episode that helps produce the best air quality modeling performance. </w:t>
      </w:r>
      <w:r w:rsidRPr="00384866">
        <w:t xml:space="preserve"> </w:t>
      </w:r>
    </w:p>
    <w:p w14:paraId="376430D8" w14:textId="77777777" w:rsidR="00384866" w:rsidRPr="00384866" w:rsidRDefault="00384866" w:rsidP="00384866">
      <w:r w:rsidRPr="00384866">
        <w:t>EPA Guidance</w:t>
      </w:r>
      <w:r w:rsidRPr="00384866">
        <w:rPr>
          <w:vertAlign w:val="superscript"/>
        </w:rPr>
        <w:footnoteReference w:id="20"/>
      </w:r>
      <w:r w:rsidRPr="00384866">
        <w:t xml:space="preserve"> identifies some selection criteria that should be considered for SIP modeling, including:</w:t>
      </w:r>
    </w:p>
    <w:p w14:paraId="19B2A0D1" w14:textId="77777777" w:rsidR="00384866" w:rsidRPr="00384866" w:rsidRDefault="00384866" w:rsidP="00384866">
      <w:pPr>
        <w:numPr>
          <w:ilvl w:val="0"/>
          <w:numId w:val="24"/>
        </w:numPr>
        <w:spacing w:after="0"/>
      </w:pPr>
      <w:r w:rsidRPr="00384866">
        <w:t>Select episodes that represent a variety of meteorological conditions that lead to elevated PM</w:t>
      </w:r>
      <w:r w:rsidRPr="00384866">
        <w:rPr>
          <w:vertAlign w:val="subscript"/>
        </w:rPr>
        <w:t>2.5</w:t>
      </w:r>
      <w:r w:rsidRPr="00384866">
        <w:t>.</w:t>
      </w:r>
    </w:p>
    <w:p w14:paraId="74D03D4D" w14:textId="77777777" w:rsidR="00384866" w:rsidRPr="00384866" w:rsidRDefault="00384866" w:rsidP="00384866">
      <w:pPr>
        <w:numPr>
          <w:ilvl w:val="0"/>
          <w:numId w:val="24"/>
        </w:numPr>
        <w:spacing w:after="0"/>
      </w:pPr>
      <w:r w:rsidRPr="00384866">
        <w:t>Select episodes during which observed concentrations are close to the baseline design value.</w:t>
      </w:r>
    </w:p>
    <w:p w14:paraId="73CCA8D5" w14:textId="77777777" w:rsidR="00384866" w:rsidRPr="00384866" w:rsidRDefault="00384866" w:rsidP="00384866">
      <w:pPr>
        <w:numPr>
          <w:ilvl w:val="0"/>
          <w:numId w:val="24"/>
        </w:numPr>
        <w:spacing w:after="0"/>
      </w:pPr>
      <w:r w:rsidRPr="00384866">
        <w:t>Select episodes that have extensive air quality data bases.</w:t>
      </w:r>
    </w:p>
    <w:p w14:paraId="0D75E8F2" w14:textId="77777777" w:rsidR="00384866" w:rsidRPr="00384866" w:rsidRDefault="00384866" w:rsidP="00384866">
      <w:pPr>
        <w:numPr>
          <w:ilvl w:val="0"/>
          <w:numId w:val="24"/>
        </w:numPr>
        <w:spacing w:after="0"/>
      </w:pPr>
      <w:r w:rsidRPr="00384866">
        <w:t>Select enough episodes such that the model attainment test is based on multiple days at each monitor violating NAAQS.</w:t>
      </w:r>
    </w:p>
    <w:p w14:paraId="7F763F3D" w14:textId="77777777" w:rsidR="00384866" w:rsidRPr="00384866" w:rsidRDefault="00384866" w:rsidP="00384866">
      <w:pPr>
        <w:spacing w:after="0"/>
        <w:ind w:left="720"/>
      </w:pPr>
    </w:p>
    <w:p w14:paraId="7664F141" w14:textId="77777777" w:rsidR="00384866" w:rsidRPr="00384866" w:rsidRDefault="00384866" w:rsidP="00384866">
      <w:pPr>
        <w:rPr>
          <w:lang w:val="en"/>
        </w:rPr>
      </w:pPr>
      <w:r w:rsidRPr="00384866">
        <w:rPr>
          <w:lang w:val="en"/>
        </w:rPr>
        <w:t>After careful consideration, the following meteorological episodes were selected as candidates for Utah’s SIP modeling:</w:t>
      </w:r>
    </w:p>
    <w:p w14:paraId="1988529C" w14:textId="77777777" w:rsidR="00384866" w:rsidRPr="00384866" w:rsidRDefault="00384866" w:rsidP="00384866">
      <w:pPr>
        <w:numPr>
          <w:ilvl w:val="0"/>
          <w:numId w:val="25"/>
        </w:numPr>
        <w:spacing w:after="0"/>
        <w:rPr>
          <w:lang w:val="en"/>
        </w:rPr>
      </w:pPr>
      <w:r w:rsidRPr="00384866">
        <w:rPr>
          <w:lang w:val="en"/>
        </w:rPr>
        <w:t>January 1-10, 2011</w:t>
      </w:r>
    </w:p>
    <w:p w14:paraId="1DD5F83A" w14:textId="77777777" w:rsidR="00384866" w:rsidRPr="00384866" w:rsidRDefault="00384866" w:rsidP="00384866">
      <w:pPr>
        <w:numPr>
          <w:ilvl w:val="0"/>
          <w:numId w:val="25"/>
        </w:numPr>
        <w:spacing w:after="0"/>
        <w:rPr>
          <w:lang w:val="en"/>
        </w:rPr>
      </w:pPr>
      <w:r w:rsidRPr="00384866">
        <w:rPr>
          <w:lang w:val="en"/>
        </w:rPr>
        <w:t>December 7-19, 2013</w:t>
      </w:r>
    </w:p>
    <w:p w14:paraId="34A07C79" w14:textId="77777777" w:rsidR="00384866" w:rsidRPr="00384866" w:rsidRDefault="00384866" w:rsidP="00384866">
      <w:pPr>
        <w:numPr>
          <w:ilvl w:val="0"/>
          <w:numId w:val="25"/>
        </w:numPr>
        <w:spacing w:after="0"/>
        <w:rPr>
          <w:lang w:val="en"/>
        </w:rPr>
      </w:pPr>
      <w:r w:rsidRPr="00384866">
        <w:rPr>
          <w:lang w:val="en"/>
        </w:rPr>
        <w:t>February 1-16, 2016</w:t>
      </w:r>
    </w:p>
    <w:p w14:paraId="0BD3F8AA" w14:textId="77777777" w:rsidR="00384866" w:rsidRPr="00384866" w:rsidRDefault="00384866" w:rsidP="00384866">
      <w:pPr>
        <w:spacing w:after="0"/>
        <w:ind w:left="720"/>
        <w:rPr>
          <w:lang w:val="en"/>
        </w:rPr>
      </w:pPr>
    </w:p>
    <w:p w14:paraId="5DF748E7" w14:textId="77777777" w:rsidR="00384866" w:rsidRPr="00384866" w:rsidRDefault="00384866" w:rsidP="00384866">
      <w:pPr>
        <w:rPr>
          <w:lang w:val="en"/>
        </w:rPr>
      </w:pPr>
      <w:r w:rsidRPr="00384866">
        <w:rPr>
          <w:lang w:val="en"/>
        </w:rPr>
        <w:t>In addition to the criteria identified in the modeling guidance, each of these candidate episodes may be characterized as having the following atmospheric conditions:</w:t>
      </w:r>
    </w:p>
    <w:p w14:paraId="72B4BA21" w14:textId="77777777" w:rsidR="00384866" w:rsidRPr="00384866" w:rsidRDefault="00384866" w:rsidP="00384866">
      <w:pPr>
        <w:numPr>
          <w:ilvl w:val="0"/>
          <w:numId w:val="26"/>
        </w:numPr>
        <w:spacing w:after="0"/>
        <w:rPr>
          <w:lang w:val="en"/>
        </w:rPr>
      </w:pPr>
      <w:r w:rsidRPr="00384866">
        <w:rPr>
          <w:lang w:val="en"/>
        </w:rPr>
        <w:t>Nearly non-existent surface winds</w:t>
      </w:r>
    </w:p>
    <w:p w14:paraId="1A5579A1" w14:textId="77777777" w:rsidR="00384866" w:rsidRPr="00384866" w:rsidRDefault="00384866" w:rsidP="00384866">
      <w:pPr>
        <w:numPr>
          <w:ilvl w:val="0"/>
          <w:numId w:val="26"/>
        </w:numPr>
        <w:spacing w:after="0"/>
        <w:rPr>
          <w:lang w:val="en"/>
        </w:rPr>
      </w:pPr>
      <w:r w:rsidRPr="00384866">
        <w:rPr>
          <w:lang w:val="en"/>
        </w:rPr>
        <w:t>Light to moderate winds aloft (wind speeds at mountaintop &lt; 10-15 m/s)</w:t>
      </w:r>
    </w:p>
    <w:p w14:paraId="5C27CFDB" w14:textId="77777777" w:rsidR="00384866" w:rsidRPr="00384866" w:rsidRDefault="00384866" w:rsidP="00384866">
      <w:pPr>
        <w:numPr>
          <w:ilvl w:val="0"/>
          <w:numId w:val="26"/>
        </w:numPr>
        <w:spacing w:after="0"/>
        <w:rPr>
          <w:lang w:val="en"/>
        </w:rPr>
      </w:pPr>
      <w:r w:rsidRPr="00384866">
        <w:rPr>
          <w:lang w:val="en"/>
        </w:rPr>
        <w:t>Simple cloud structure in the lower troposphere (e.g., consisting of only one or no cloud layer)</w:t>
      </w:r>
    </w:p>
    <w:p w14:paraId="7E5DF180" w14:textId="77777777" w:rsidR="00384866" w:rsidRPr="00384866" w:rsidRDefault="00384866" w:rsidP="00384866">
      <w:pPr>
        <w:numPr>
          <w:ilvl w:val="0"/>
          <w:numId w:val="26"/>
        </w:numPr>
        <w:spacing w:after="0"/>
        <w:rPr>
          <w:lang w:val="en"/>
        </w:rPr>
      </w:pPr>
      <w:r w:rsidRPr="00384866">
        <w:rPr>
          <w:lang w:val="en"/>
        </w:rPr>
        <w:t>Singular 24-hour PM</w:t>
      </w:r>
      <w:r w:rsidRPr="00384866">
        <w:rPr>
          <w:vertAlign w:val="subscript"/>
          <w:lang w:val="en"/>
        </w:rPr>
        <w:t>2.5</w:t>
      </w:r>
      <w:r w:rsidRPr="00384866">
        <w:rPr>
          <w:lang w:val="en"/>
        </w:rPr>
        <w:t xml:space="preserve"> peaks suggesting the absence of weak intermittent storms during the episode</w:t>
      </w:r>
    </w:p>
    <w:p w14:paraId="7506BFBF" w14:textId="77777777" w:rsidR="00384866" w:rsidRPr="00384866" w:rsidRDefault="00384866" w:rsidP="00384866">
      <w:pPr>
        <w:spacing w:after="0"/>
        <w:ind w:left="720"/>
        <w:rPr>
          <w:lang w:val="en"/>
        </w:rPr>
      </w:pPr>
    </w:p>
    <w:p w14:paraId="1EF6F328" w14:textId="5A49D336" w:rsidR="00384866" w:rsidRPr="00384866" w:rsidRDefault="00384866" w:rsidP="00384866">
      <w:pPr>
        <w:rPr>
          <w:lang w:val="en"/>
        </w:rPr>
      </w:pPr>
      <w:r w:rsidRPr="00384866">
        <w:rPr>
          <w:lang w:val="en"/>
        </w:rPr>
        <w:t>Previous work conducted by the University of Utah and UDAQ showed the four conditions listed above improve the likelihood for successfully simulating wintertime persistent cold air pools in the WRF model</w:t>
      </w:r>
      <w:r w:rsidRPr="00384866">
        <w:rPr>
          <w:vertAlign w:val="superscript"/>
          <w:lang w:val="en"/>
        </w:rPr>
        <w:footnoteReference w:id="21"/>
      </w:r>
      <w:r w:rsidRPr="00384866">
        <w:rPr>
          <w:lang w:val="en"/>
        </w:rPr>
        <w:t>. A comprehensive discussion of the meteorolog</w:t>
      </w:r>
      <w:r w:rsidR="004F5327">
        <w:rPr>
          <w:lang w:val="en"/>
        </w:rPr>
        <w:t>ical</w:t>
      </w:r>
      <w:r w:rsidRPr="00384866">
        <w:rPr>
          <w:lang w:val="en"/>
        </w:rPr>
        <w:t xml:space="preserve"> model performance for all three episodes </w:t>
      </w:r>
      <w:r w:rsidR="004F5327">
        <w:rPr>
          <w:lang w:val="en"/>
        </w:rPr>
        <w:t>can</w:t>
      </w:r>
      <w:r w:rsidRPr="00384866">
        <w:rPr>
          <w:lang w:val="en"/>
        </w:rPr>
        <w:t xml:space="preserve"> be found in the </w:t>
      </w:r>
      <w:r w:rsidR="004F5327">
        <w:rPr>
          <w:lang w:val="en"/>
        </w:rPr>
        <w:t>meteorological modeling TSD</w:t>
      </w:r>
      <w:r w:rsidRPr="00384866">
        <w:rPr>
          <w:vertAlign w:val="superscript"/>
          <w:lang w:val="en"/>
        </w:rPr>
        <w:footnoteReference w:id="22"/>
      </w:r>
      <w:r w:rsidRPr="00384866">
        <w:rPr>
          <w:lang w:val="en"/>
        </w:rPr>
        <w:t xml:space="preserve">. </w:t>
      </w:r>
    </w:p>
    <w:p w14:paraId="02DB073F" w14:textId="1A5577D4" w:rsidR="00384866" w:rsidRPr="00053372" w:rsidRDefault="00384866" w:rsidP="00FF45A5">
      <w:pPr>
        <w:pStyle w:val="Heading5"/>
      </w:pPr>
      <w:bookmarkStart w:id="70" w:name="_meco52i5pz9" w:colFirst="0" w:colLast="0"/>
      <w:bookmarkStart w:id="71" w:name="_t0ywmy76nrhg" w:colFirst="0" w:colLast="0"/>
      <w:bookmarkStart w:id="72" w:name="_Toc522890987"/>
      <w:bookmarkEnd w:id="70"/>
      <w:bookmarkEnd w:id="71"/>
      <w:r w:rsidRPr="00053372">
        <w:t>Model Adjustments</w:t>
      </w:r>
      <w:r w:rsidR="003A1F5F">
        <w:t xml:space="preserve"> and Settings</w:t>
      </w:r>
    </w:p>
    <w:bookmarkEnd w:id="72"/>
    <w:p w14:paraId="27B1BAD4" w14:textId="77777777" w:rsidR="00384866" w:rsidRPr="00384866" w:rsidRDefault="00384866" w:rsidP="00384866">
      <w:pPr>
        <w:rPr>
          <w:lang w:val="en"/>
        </w:rPr>
      </w:pPr>
      <w:r w:rsidRPr="00384866">
        <w:rPr>
          <w:lang w:val="en"/>
        </w:rPr>
        <w:t>In order to better simulate Utah’s winter-time inversion episodes six different adjustments were made to CAMx input data:</w:t>
      </w:r>
    </w:p>
    <w:p w14:paraId="685920AC" w14:textId="77777777" w:rsidR="00384866" w:rsidRPr="00384866" w:rsidRDefault="00384866" w:rsidP="00384866">
      <w:pPr>
        <w:numPr>
          <w:ilvl w:val="0"/>
          <w:numId w:val="23"/>
        </w:numPr>
        <w:spacing w:after="0"/>
        <w:rPr>
          <w:lang w:val="en"/>
        </w:rPr>
      </w:pPr>
      <w:r w:rsidRPr="00384866">
        <w:rPr>
          <w:lang w:val="en"/>
        </w:rPr>
        <w:t>Increased vertical diffusion rates (Kvpatch)</w:t>
      </w:r>
    </w:p>
    <w:p w14:paraId="3E47462B" w14:textId="77777777" w:rsidR="00384866" w:rsidRPr="00384866" w:rsidRDefault="00384866" w:rsidP="00384866">
      <w:pPr>
        <w:numPr>
          <w:ilvl w:val="0"/>
          <w:numId w:val="23"/>
        </w:numPr>
        <w:spacing w:after="0"/>
        <w:rPr>
          <w:lang w:val="en"/>
        </w:rPr>
      </w:pPr>
      <w:r w:rsidRPr="00384866">
        <w:rPr>
          <w:lang w:val="en"/>
        </w:rPr>
        <w:t>Lowered residential wood smoke emissions to reflect burn ban compliance during forecasted high PM</w:t>
      </w:r>
      <w:r w:rsidRPr="00384866">
        <w:rPr>
          <w:vertAlign w:val="subscript"/>
          <w:lang w:val="en"/>
        </w:rPr>
        <w:t>2.5</w:t>
      </w:r>
      <w:r w:rsidRPr="00384866">
        <w:rPr>
          <w:lang w:val="en"/>
        </w:rPr>
        <w:t xml:space="preserve"> days (burn ban)</w:t>
      </w:r>
    </w:p>
    <w:p w14:paraId="4F5BB7BC" w14:textId="77777777" w:rsidR="00384866" w:rsidRPr="00384866" w:rsidRDefault="00384866" w:rsidP="00384866">
      <w:pPr>
        <w:numPr>
          <w:ilvl w:val="0"/>
          <w:numId w:val="23"/>
        </w:numPr>
        <w:spacing w:after="0"/>
        <w:rPr>
          <w:lang w:val="en"/>
        </w:rPr>
      </w:pPr>
      <w:r w:rsidRPr="00384866">
        <w:rPr>
          <w:lang w:val="en"/>
        </w:rPr>
        <w:t>Ozone deposition velocity set to zero and increased urban area surface albedo (snow chemistry)</w:t>
      </w:r>
    </w:p>
    <w:p w14:paraId="0CA49884" w14:textId="77777777" w:rsidR="00384866" w:rsidRPr="00384866" w:rsidRDefault="00384866" w:rsidP="00384866">
      <w:pPr>
        <w:numPr>
          <w:ilvl w:val="0"/>
          <w:numId w:val="23"/>
        </w:numPr>
        <w:spacing w:after="0"/>
        <w:rPr>
          <w:lang w:val="en"/>
        </w:rPr>
      </w:pPr>
      <w:r w:rsidRPr="00384866">
        <w:rPr>
          <w:lang w:val="en"/>
        </w:rPr>
        <w:t>Cloud water content reduced during certain days (cloud adjustment)</w:t>
      </w:r>
    </w:p>
    <w:p w14:paraId="217BC50A" w14:textId="77777777" w:rsidR="00384866" w:rsidRPr="00384866" w:rsidRDefault="00384866" w:rsidP="00384866">
      <w:pPr>
        <w:numPr>
          <w:ilvl w:val="0"/>
          <w:numId w:val="23"/>
        </w:numPr>
        <w:spacing w:after="0"/>
        <w:rPr>
          <w:lang w:val="en"/>
        </w:rPr>
      </w:pPr>
      <w:r w:rsidRPr="00384866">
        <w:rPr>
          <w:lang w:val="en"/>
        </w:rPr>
        <w:t xml:space="preserve">Ammonia injection to account for missing ammonia sources in UDAQ’s inventory. This is defined as artificially adding non-inventoried ammonia emissions to the inventoried emissions that are input into CAMx. </w:t>
      </w:r>
    </w:p>
    <w:p w14:paraId="2442D63E" w14:textId="631890DD" w:rsidR="00384866" w:rsidRPr="00833E6A" w:rsidRDefault="00384866" w:rsidP="00384866">
      <w:pPr>
        <w:numPr>
          <w:ilvl w:val="0"/>
          <w:numId w:val="23"/>
        </w:numPr>
        <w:spacing w:after="0"/>
        <w:rPr>
          <w:lang w:val="en"/>
        </w:rPr>
      </w:pPr>
      <w:r w:rsidRPr="00384866">
        <w:rPr>
          <w:lang w:val="en"/>
        </w:rPr>
        <w:t xml:space="preserve">Reduced the dry deposition rate of ammonia by setting ammonia Rscale to 1. Rscale is a </w:t>
      </w:r>
      <w:r w:rsidRPr="00833E6A">
        <w:rPr>
          <w:lang w:val="en"/>
        </w:rPr>
        <w:t>parameter in CAMx that reflects surface resistance.</w:t>
      </w:r>
    </w:p>
    <w:p w14:paraId="3321D88C" w14:textId="77777777" w:rsidR="00384866" w:rsidRPr="00833E6A" w:rsidRDefault="00384866" w:rsidP="00384866">
      <w:pPr>
        <w:numPr>
          <w:ilvl w:val="0"/>
          <w:numId w:val="23"/>
        </w:numPr>
        <w:spacing w:after="0"/>
        <w:rPr>
          <w:lang w:val="en"/>
        </w:rPr>
      </w:pPr>
      <w:r w:rsidRPr="00833E6A">
        <w:rPr>
          <w:lang w:val="en"/>
        </w:rPr>
        <w:t>Applied a 93% reduction to paved road dust emissions.</w:t>
      </w:r>
    </w:p>
    <w:p w14:paraId="347D4C66" w14:textId="77777777" w:rsidR="00384866" w:rsidRPr="00833E6A" w:rsidRDefault="00384866" w:rsidP="00384866">
      <w:pPr>
        <w:spacing w:after="0"/>
        <w:rPr>
          <w:lang w:val="en"/>
        </w:rPr>
      </w:pPr>
      <w:r w:rsidRPr="00833E6A">
        <w:rPr>
          <w:lang w:val="en"/>
        </w:rPr>
        <w:t xml:space="preserve"> </w:t>
      </w:r>
    </w:p>
    <w:p w14:paraId="45E8C137" w14:textId="26C148AD" w:rsidR="00384866" w:rsidRPr="00833E6A" w:rsidRDefault="00384866" w:rsidP="00384866">
      <w:r w:rsidRPr="00833E6A">
        <w:rPr>
          <w:lang w:val="en"/>
        </w:rPr>
        <w:t xml:space="preserve">Depending on the episode, different adjustments were applied. All adjustments were applied to the January 2011 episode while select adjustments were applied to the other two episodes. </w:t>
      </w:r>
    </w:p>
    <w:p w14:paraId="0D4944DC" w14:textId="77777777" w:rsidR="00384866" w:rsidRPr="00384866" w:rsidRDefault="00384866" w:rsidP="00384866">
      <w:pPr>
        <w:rPr>
          <w:lang w:val="en"/>
        </w:rPr>
      </w:pPr>
      <w:r w:rsidRPr="00384866">
        <w:rPr>
          <w:lang w:val="en"/>
        </w:rPr>
        <w:t xml:space="preserve">Kvpatch improved overall model performance by enhancing vertical mixing over urban areas. Snow chemistry modifications, which included reducing ozone deposition velocity and increasing surface albedo over urban areas, helped improve the model performance by better representing secondary ammonium nitrate formation during winter-time inversion episodes in Utah. </w:t>
      </w:r>
    </w:p>
    <w:p w14:paraId="01D8945D" w14:textId="77777777" w:rsidR="00384866" w:rsidRPr="00384866" w:rsidRDefault="00384866" w:rsidP="00384866">
      <w:pPr>
        <w:rPr>
          <w:lang w:val="en"/>
        </w:rPr>
      </w:pPr>
      <w:r w:rsidRPr="00384866">
        <w:rPr>
          <w:lang w:val="en"/>
        </w:rPr>
        <w:lastRenderedPageBreak/>
        <w:t xml:space="preserve">Cloud adjustments were only applied to the January 2011 episode, which was characterized by cloud cover on January 6-8 over the Salt Lake and Utah valleys. This cloud cover led to a high bias in sulfate due to the effect of ammonia on the gas-to-particle partitioning of sulfate in clouds. Application of the cloud adjustment scheme helped reduce this bias. </w:t>
      </w:r>
    </w:p>
    <w:p w14:paraId="6CC05F17" w14:textId="77777777" w:rsidR="00384866" w:rsidRPr="00800ECE" w:rsidRDefault="00384866" w:rsidP="00384866">
      <w:pPr>
        <w:rPr>
          <w:lang w:val="en"/>
        </w:rPr>
      </w:pPr>
      <w:r w:rsidRPr="00384866">
        <w:rPr>
          <w:lang w:val="en"/>
        </w:rPr>
        <w:t>Rscale modification and burn ban adjustments were also only applied to the January 2011 episode. The burn ban adjustments reflect the compliance r</w:t>
      </w:r>
      <w:r w:rsidRPr="00800ECE">
        <w:rPr>
          <w:lang w:val="en"/>
        </w:rPr>
        <w:t xml:space="preserve">ate with the state’s two-stage policy ban on wood-burning. </w:t>
      </w:r>
    </w:p>
    <w:p w14:paraId="2B0CF51D" w14:textId="77777777" w:rsidR="00384866" w:rsidRPr="00800ECE" w:rsidRDefault="00384866" w:rsidP="00384866">
      <w:pPr>
        <w:rPr>
          <w:lang w:val="en"/>
        </w:rPr>
      </w:pPr>
      <w:r w:rsidRPr="00800ECE">
        <w:rPr>
          <w:lang w:val="en"/>
        </w:rPr>
        <w:t>A 93% reduction in paved road dust emissions was only applied to the January 2011 emissions.  This adjustment helped improve the model performance for crustal material.</w:t>
      </w:r>
    </w:p>
    <w:p w14:paraId="6EDF6ECC" w14:textId="538FD904" w:rsidR="00FF45A5" w:rsidRPr="00FF45A5" w:rsidRDefault="00FF45A5" w:rsidP="00053372">
      <w:pPr>
        <w:pStyle w:val="Heading5"/>
      </w:pPr>
      <w:r>
        <w:t>Episodic Model Performance</w:t>
      </w:r>
    </w:p>
    <w:p w14:paraId="2D7C5A79" w14:textId="0F7C85F8" w:rsidR="001471D3" w:rsidRPr="001471D3" w:rsidRDefault="001471D3" w:rsidP="00C368E2">
      <w:pPr>
        <w:rPr>
          <w:lang w:val="en"/>
        </w:rPr>
      </w:pPr>
      <w:bookmarkStart w:id="73" w:name="_w1ucmwdq4my" w:colFirst="0" w:colLast="0"/>
      <w:bookmarkEnd w:id="73"/>
      <w:r w:rsidRPr="001471D3">
        <w:rPr>
          <w:lang w:val="en"/>
        </w:rPr>
        <w:t>Shown below for each of three episodes are the CAMx performance results for total 24-hour PM</w:t>
      </w:r>
      <w:r w:rsidRPr="001471D3">
        <w:rPr>
          <w:vertAlign w:val="subscript"/>
          <w:lang w:val="en"/>
        </w:rPr>
        <w:t>2.5</w:t>
      </w:r>
      <w:r w:rsidRPr="001471D3">
        <w:rPr>
          <w:lang w:val="en"/>
        </w:rPr>
        <w:t xml:space="preserve"> mass and PM</w:t>
      </w:r>
      <w:r w:rsidR="00F40FBC">
        <w:rPr>
          <w:vertAlign w:val="subscript"/>
          <w:lang w:val="en"/>
        </w:rPr>
        <w:t>2.5</w:t>
      </w:r>
      <w:r w:rsidRPr="001471D3">
        <w:rPr>
          <w:lang w:val="en"/>
        </w:rPr>
        <w:t xml:space="preserve"> chemical species, including nitrate (NO</w:t>
      </w:r>
      <w:r w:rsidRPr="001471D3">
        <w:rPr>
          <w:vertAlign w:val="subscript"/>
          <w:lang w:val="en"/>
        </w:rPr>
        <w:t>3</w:t>
      </w:r>
      <w:r w:rsidRPr="001471D3">
        <w:rPr>
          <w:lang w:val="en"/>
        </w:rPr>
        <w:t>), sulfate (SO</w:t>
      </w:r>
      <w:r w:rsidRPr="001471D3">
        <w:rPr>
          <w:vertAlign w:val="subscript"/>
          <w:lang w:val="en"/>
        </w:rPr>
        <w:t>4</w:t>
      </w:r>
      <w:r w:rsidRPr="001471D3">
        <w:rPr>
          <w:lang w:val="en"/>
        </w:rPr>
        <w:t>), ammonium (NH</w:t>
      </w:r>
      <w:r w:rsidRPr="001471D3">
        <w:rPr>
          <w:vertAlign w:val="subscript"/>
          <w:lang w:val="en"/>
        </w:rPr>
        <w:t>4</w:t>
      </w:r>
      <w:r w:rsidRPr="001471D3">
        <w:rPr>
          <w:lang w:val="en"/>
        </w:rPr>
        <w:t xml:space="preserve">), organic carbon (OC), elemental carbon (EC), chloride (Cl), sodium (Na), crustal material (CM) and other species (other mass). </w:t>
      </w:r>
    </w:p>
    <w:p w14:paraId="5FBEE113" w14:textId="77777777" w:rsidR="001471D3" w:rsidRPr="001471D3" w:rsidRDefault="001471D3" w:rsidP="00C368E2">
      <w:pPr>
        <w:rPr>
          <w:i/>
          <w:lang w:val="en"/>
        </w:rPr>
      </w:pPr>
      <w:r w:rsidRPr="001471D3">
        <w:rPr>
          <w:i/>
          <w:lang w:val="en"/>
        </w:rPr>
        <w:t>January 1-10, 2011</w:t>
      </w:r>
    </w:p>
    <w:p w14:paraId="67FF13DB" w14:textId="600DEED6" w:rsidR="00863B5F" w:rsidRDefault="006C4BA9" w:rsidP="00C368E2">
      <w:pPr>
        <w:rPr>
          <w:rFonts w:cs="Times New Roman"/>
          <w:color w:val="0070C0"/>
        </w:rPr>
      </w:pPr>
      <w:r w:rsidRPr="00125300">
        <w:rPr>
          <w:lang w:val="en"/>
        </w:rPr>
        <w:t>A comparison of</w:t>
      </w:r>
      <w:r w:rsidRPr="00125300">
        <w:rPr>
          <w:b/>
          <w:lang w:val="en"/>
        </w:rPr>
        <w:t xml:space="preserve"> </w:t>
      </w:r>
      <w:r w:rsidRPr="00125300">
        <w:rPr>
          <w:lang w:val="en"/>
        </w:rPr>
        <w:t xml:space="preserve">24-hr </w:t>
      </w:r>
      <w:r w:rsidRPr="00113E09">
        <w:rPr>
          <w:lang w:val="en"/>
        </w:rPr>
        <w:t>modeled and observed PM</w:t>
      </w:r>
      <w:r w:rsidRPr="00113E09">
        <w:rPr>
          <w:vertAlign w:val="subscript"/>
          <w:lang w:val="en"/>
        </w:rPr>
        <w:t>2.5</w:t>
      </w:r>
      <w:r w:rsidRPr="00113E09">
        <w:rPr>
          <w:lang w:val="en"/>
        </w:rPr>
        <w:t xml:space="preserve"> during January 1-10, 2011</w:t>
      </w:r>
      <w:r w:rsidR="003E4B3B" w:rsidRPr="00113E09">
        <w:rPr>
          <w:lang w:val="en"/>
        </w:rPr>
        <w:t>,</w:t>
      </w:r>
      <w:r w:rsidRPr="00113E09">
        <w:rPr>
          <w:lang w:val="en"/>
        </w:rPr>
        <w:t xml:space="preserve"> at the Hawthorne monitoring station in the SLC NAA showed that </w:t>
      </w:r>
      <w:r w:rsidR="00850C71" w:rsidRPr="00113E09">
        <w:t xml:space="preserve">overall </w:t>
      </w:r>
      <w:r w:rsidRPr="00113E09">
        <w:t xml:space="preserve">the model captures the temporal variation in </w:t>
      </w:r>
      <w:r w:rsidRPr="00113E09">
        <w:rPr>
          <w:lang w:val="en"/>
        </w:rPr>
        <w:t>PM</w:t>
      </w:r>
      <w:r w:rsidRPr="00113E09">
        <w:rPr>
          <w:vertAlign w:val="subscript"/>
          <w:lang w:val="en"/>
        </w:rPr>
        <w:t>2.5</w:t>
      </w:r>
      <w:r w:rsidRPr="00113E09">
        <w:t xml:space="preserve"> </w:t>
      </w:r>
      <w:r w:rsidR="00850C71" w:rsidRPr="00113E09">
        <w:t xml:space="preserve">well </w:t>
      </w:r>
      <w:r w:rsidRPr="00113E09">
        <w:t>(Figure IX.A.</w:t>
      </w:r>
      <w:r w:rsidR="00333AE9" w:rsidRPr="00113E09">
        <w:t>36</w:t>
      </w:r>
      <w:r w:rsidRPr="00113E09">
        <w:t>.</w:t>
      </w:r>
      <w:r w:rsidR="00574A1A" w:rsidRPr="00113E09">
        <w:t>5</w:t>
      </w:r>
      <w:r w:rsidRPr="00113E09">
        <w:t xml:space="preserve">). The gradual increase in </w:t>
      </w:r>
      <w:r w:rsidRPr="00113E09">
        <w:rPr>
          <w:lang w:val="en"/>
        </w:rPr>
        <w:t>PM</w:t>
      </w:r>
      <w:r w:rsidRPr="00113E09">
        <w:rPr>
          <w:vertAlign w:val="subscript"/>
          <w:lang w:val="en"/>
        </w:rPr>
        <w:t>2.5</w:t>
      </w:r>
      <w:r w:rsidRPr="00113E09">
        <w:t xml:space="preserve"> concentration and its transition back to low levels are generally well reproduced by the model.</w:t>
      </w:r>
      <w:r w:rsidR="00863B5F" w:rsidRPr="00113E09">
        <w:rPr>
          <w:rFonts w:cs="Times New Roman"/>
        </w:rPr>
        <w:t xml:space="preserve"> An overestimation in </w:t>
      </w:r>
      <w:r w:rsidR="00863B5F" w:rsidRPr="00113E09">
        <w:t>PM</w:t>
      </w:r>
      <w:r w:rsidR="00863B5F" w:rsidRPr="00113E09">
        <w:rPr>
          <w:vertAlign w:val="subscript"/>
        </w:rPr>
        <w:t>2.5</w:t>
      </w:r>
      <w:r w:rsidR="00863B5F" w:rsidRPr="00113E09">
        <w:rPr>
          <w:rFonts w:cs="Times New Roman"/>
        </w:rPr>
        <w:t xml:space="preserve"> is observed on January 3</w:t>
      </w:r>
      <w:r w:rsidR="00863B5F" w:rsidRPr="00113E09">
        <w:rPr>
          <w:rFonts w:cs="Times New Roman"/>
          <w:vertAlign w:val="superscript"/>
        </w:rPr>
        <w:t>rd</w:t>
      </w:r>
      <w:r w:rsidR="00863B5F" w:rsidRPr="00113E09">
        <w:rPr>
          <w:rFonts w:cs="Times New Roman"/>
        </w:rPr>
        <w:t xml:space="preserve">, which </w:t>
      </w:r>
      <w:r w:rsidR="00C368E2" w:rsidRPr="00113E09">
        <w:rPr>
          <w:rFonts w:cs="Times New Roman"/>
        </w:rPr>
        <w:t>is most likely</w:t>
      </w:r>
      <w:r w:rsidR="00863B5F" w:rsidRPr="00113E09">
        <w:rPr>
          <w:rFonts w:cs="Times New Roman"/>
        </w:rPr>
        <w:t xml:space="preserve"> related to the meteorological model performance on this day.  Thin mid-level clouds, which were observed on January 3-4, were not simulated in the WRF model, leading to an increasingly stable low-level boundary layer, limiting the mixing of pollutants</w:t>
      </w:r>
      <w:r w:rsidR="00863B5F" w:rsidRPr="00113E09">
        <w:rPr>
          <w:rFonts w:cs="Times New Roman"/>
          <w:vertAlign w:val="superscript"/>
        </w:rPr>
        <w:footnoteReference w:id="23"/>
      </w:r>
      <w:r w:rsidR="00863B5F" w:rsidRPr="00113E09">
        <w:rPr>
          <w:rFonts w:cs="Times New Roman"/>
        </w:rPr>
        <w:t>. To help reduce this bias, Kvpatch was applied. The underestimation in PM</w:t>
      </w:r>
      <w:r w:rsidR="007E7565" w:rsidRPr="00113E09">
        <w:rPr>
          <w:rFonts w:cs="Times New Roman"/>
          <w:vertAlign w:val="subscript"/>
        </w:rPr>
        <w:t>2.5</w:t>
      </w:r>
      <w:r w:rsidR="00863B5F" w:rsidRPr="00113E09">
        <w:rPr>
          <w:rFonts w:cs="Times New Roman"/>
        </w:rPr>
        <w:t xml:space="preserve"> on January 5</w:t>
      </w:r>
      <w:r w:rsidR="0084494E" w:rsidRPr="00113E09">
        <w:rPr>
          <w:rFonts w:cs="Times New Roman"/>
        </w:rPr>
        <w:t>,</w:t>
      </w:r>
      <w:r w:rsidR="00863B5F" w:rsidRPr="00113E09">
        <w:rPr>
          <w:rFonts w:cs="Times New Roman"/>
        </w:rPr>
        <w:t xml:space="preserve"> 2011, at the Hawthorne station is also related to the meteorological model performance on this day, where the WRF model overestimated the wind shear near the mixing height</w:t>
      </w:r>
      <w:r w:rsidR="00863B5F" w:rsidRPr="00113E09">
        <w:rPr>
          <w:rFonts w:cs="Times New Roman"/>
          <w:vertAlign w:val="superscript"/>
        </w:rPr>
        <w:footnoteReference w:id="24"/>
      </w:r>
      <w:r w:rsidR="00863B5F" w:rsidRPr="00113E09">
        <w:rPr>
          <w:rFonts w:cs="Times New Roman"/>
        </w:rPr>
        <w:t xml:space="preserve">. </w:t>
      </w:r>
    </w:p>
    <w:p w14:paraId="073B0F5C" w14:textId="77777777" w:rsidR="00C5554D" w:rsidRDefault="00FF45A5" w:rsidP="00C5554D">
      <w:pPr>
        <w:keepNext/>
      </w:pPr>
      <w:r>
        <w:rPr>
          <w:noProof/>
        </w:rPr>
        <w:lastRenderedPageBreak/>
        <w:drawing>
          <wp:inline distT="0" distB="0" distL="0" distR="0" wp14:anchorId="28576A5B" wp14:editId="4E1F77DA">
            <wp:extent cx="3840480" cy="2560320"/>
            <wp:effectExtent l="0" t="0" r="7620" b="0"/>
            <wp:docPr id="7" name="Chart 7">
              <a:extLst xmlns:a="http://schemas.openxmlformats.org/drawingml/2006/main">
                <a:ext uri="{FF2B5EF4-FFF2-40B4-BE49-F238E27FC236}">
                  <a16:creationId xmlns:a16="http://schemas.microsoft.com/office/drawing/2014/main" id="{8D798625-8E62-4596-B16F-A88E8C2F19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A5DEFA" w14:textId="126CE2F6" w:rsidR="003120E3" w:rsidRPr="00113E09" w:rsidRDefault="00C5554D" w:rsidP="00C5554D">
      <w:pPr>
        <w:pStyle w:val="Caption"/>
        <w:rPr>
          <w:rFonts w:cs="Times New Roman"/>
          <w:color w:val="auto"/>
        </w:rPr>
      </w:pPr>
      <w:bookmarkStart w:id="74" w:name="_Toc17269007"/>
      <w:r w:rsidRPr="00113E09">
        <w:rPr>
          <w:color w:val="auto"/>
        </w:rPr>
        <w:t xml:space="preserve">Figure IX.A.36. </w:t>
      </w:r>
      <w:r w:rsidR="00767843" w:rsidRPr="00113E09">
        <w:rPr>
          <w:color w:val="auto"/>
        </w:rPr>
        <w:fldChar w:fldCharType="begin"/>
      </w:r>
      <w:r w:rsidR="00767843" w:rsidRPr="00113E09">
        <w:rPr>
          <w:color w:val="auto"/>
        </w:rPr>
        <w:instrText xml:space="preserve"> SEQ Figure_IX.A.36. \* ARABIC </w:instrText>
      </w:r>
      <w:r w:rsidR="00767843" w:rsidRPr="00113E09">
        <w:rPr>
          <w:color w:val="auto"/>
        </w:rPr>
        <w:fldChar w:fldCharType="separate"/>
      </w:r>
      <w:r w:rsidR="00767843">
        <w:rPr>
          <w:noProof/>
          <w:color w:val="auto"/>
        </w:rPr>
        <w:t>5</w:t>
      </w:r>
      <w:r w:rsidR="00767843" w:rsidRPr="00113E09">
        <w:rPr>
          <w:noProof/>
          <w:color w:val="auto"/>
        </w:rPr>
        <w:fldChar w:fldCharType="end"/>
      </w:r>
      <w:r w:rsidRPr="00113E09">
        <w:rPr>
          <w:color w:val="auto"/>
        </w:rPr>
        <w:t xml:space="preserve"> Measured and Modeled 24-hr PM</w:t>
      </w:r>
      <w:r w:rsidR="00487D49" w:rsidRPr="00113E09">
        <w:rPr>
          <w:color w:val="auto"/>
          <w:vertAlign w:val="subscript"/>
        </w:rPr>
        <w:t>2.5</w:t>
      </w:r>
      <w:r w:rsidRPr="00113E09">
        <w:rPr>
          <w:color w:val="auto"/>
        </w:rPr>
        <w:t xml:space="preserve"> Concentrations During January 1-10 2011 at </w:t>
      </w:r>
      <w:r w:rsidR="004A3F7D" w:rsidRPr="00113E09">
        <w:rPr>
          <w:color w:val="auto"/>
        </w:rPr>
        <w:t>Hawthorne</w:t>
      </w:r>
      <w:r w:rsidRPr="00113E09">
        <w:rPr>
          <w:color w:val="auto"/>
        </w:rPr>
        <w:t xml:space="preserve"> Monitoring Station in SLC NAA</w:t>
      </w:r>
      <w:bookmarkEnd w:id="74"/>
    </w:p>
    <w:p w14:paraId="5D67C97A" w14:textId="513E9ECB" w:rsidR="003120E3" w:rsidRPr="00113E09" w:rsidRDefault="003120E3" w:rsidP="003120E3">
      <w:pPr>
        <w:keepNext/>
      </w:pPr>
    </w:p>
    <w:p w14:paraId="23ADD553" w14:textId="6EC5EE67" w:rsidR="0027724B" w:rsidRPr="00113E09" w:rsidRDefault="0027724B" w:rsidP="00B91E67">
      <w:pPr>
        <w:rPr>
          <w:lang w:val="en"/>
        </w:rPr>
      </w:pPr>
      <w:r w:rsidRPr="00113E09">
        <w:t xml:space="preserve">The model performance for </w:t>
      </w:r>
      <w:r w:rsidRPr="00113E09">
        <w:rPr>
          <w:lang w:val="en"/>
        </w:rPr>
        <w:t>PM</w:t>
      </w:r>
      <w:r w:rsidRPr="00113E09">
        <w:rPr>
          <w:vertAlign w:val="subscript"/>
          <w:lang w:val="en"/>
        </w:rPr>
        <w:t>2.5</w:t>
      </w:r>
      <w:r w:rsidRPr="00113E09">
        <w:t xml:space="preserve"> chemical species was also good for this episode. The chemical composition of modeled </w:t>
      </w:r>
      <w:r w:rsidRPr="00113E09">
        <w:rPr>
          <w:lang w:val="en"/>
        </w:rPr>
        <w:t>PM</w:t>
      </w:r>
      <w:r w:rsidRPr="00113E09">
        <w:rPr>
          <w:vertAlign w:val="subscript"/>
          <w:lang w:val="en"/>
        </w:rPr>
        <w:t>2.5</w:t>
      </w:r>
      <w:r w:rsidRPr="00113E09">
        <w:t xml:space="preserve"> on January 7, which corresponds to a </w:t>
      </w:r>
      <w:r w:rsidRPr="00113E09">
        <w:rPr>
          <w:lang w:val="en"/>
        </w:rPr>
        <w:t>PM</w:t>
      </w:r>
      <w:r w:rsidRPr="00113E09">
        <w:rPr>
          <w:vertAlign w:val="subscript"/>
          <w:lang w:val="en"/>
        </w:rPr>
        <w:t>2.5</w:t>
      </w:r>
      <w:r w:rsidRPr="00113E09">
        <w:t xml:space="preserve"> exceedance day, is similar to that of measured </w:t>
      </w:r>
      <w:r w:rsidRPr="00113E09">
        <w:rPr>
          <w:lang w:val="en"/>
        </w:rPr>
        <w:t>PM</w:t>
      </w:r>
      <w:r w:rsidRPr="00113E09">
        <w:rPr>
          <w:vertAlign w:val="subscript"/>
          <w:lang w:val="en"/>
        </w:rPr>
        <w:t>2.5</w:t>
      </w:r>
      <w:r w:rsidRPr="00113E09">
        <w:t xml:space="preserve"> with modeled secondary species, nitrate, ammonium and sulfate, accounting for over 50% of </w:t>
      </w:r>
      <w:r w:rsidRPr="00113E09">
        <w:rPr>
          <w:lang w:val="en"/>
        </w:rPr>
        <w:t>PM</w:t>
      </w:r>
      <w:r w:rsidRPr="00113E09">
        <w:rPr>
          <w:vertAlign w:val="subscript"/>
          <w:lang w:val="en"/>
        </w:rPr>
        <w:t>2.5</w:t>
      </w:r>
      <w:r w:rsidRPr="00113E09">
        <w:t xml:space="preserve"> mass, in agreement with measurements (</w:t>
      </w:r>
      <w:r w:rsidR="00B91E67" w:rsidRPr="00113E09">
        <w:t>IX.A.36.6</w:t>
      </w:r>
      <w:r w:rsidRPr="00113E09">
        <w:t xml:space="preserve">). Ammonia injection helped improve the model performance for these species. The model also performed well for </w:t>
      </w:r>
      <w:r w:rsidR="00850C71" w:rsidRPr="00113E09">
        <w:t>organic carbon (</w:t>
      </w:r>
      <w:r w:rsidRPr="00113E09">
        <w:t>OC</w:t>
      </w:r>
      <w:r w:rsidR="00850C71" w:rsidRPr="00113E09">
        <w:t>)</w:t>
      </w:r>
      <w:r w:rsidRPr="00113E09">
        <w:t xml:space="preserve"> while it overestimated crustal material and</w:t>
      </w:r>
      <w:r w:rsidR="00850C71" w:rsidRPr="00113E09">
        <w:t xml:space="preserve"> elemental carbon</w:t>
      </w:r>
      <w:r w:rsidRPr="00113E09">
        <w:t xml:space="preserve"> </w:t>
      </w:r>
      <w:r w:rsidR="00850C71" w:rsidRPr="00113E09">
        <w:t>(</w:t>
      </w:r>
      <w:r w:rsidRPr="00113E09">
        <w:t>EC</w:t>
      </w:r>
      <w:r w:rsidR="00850C71" w:rsidRPr="00113E09">
        <w:t>)</w:t>
      </w:r>
      <w:r w:rsidRPr="00113E09">
        <w:t xml:space="preserve">, possibly due to an overprediction in their source emissions. While a </w:t>
      </w:r>
      <w:r w:rsidRPr="00113E09">
        <w:rPr>
          <w:lang w:val="en"/>
        </w:rPr>
        <w:t xml:space="preserve">93% reduction in paved road dust emissions was applied, it is possible that further reduction was needed. </w:t>
      </w:r>
    </w:p>
    <w:p w14:paraId="5EDD8800" w14:textId="72F0449B" w:rsidR="0027724B" w:rsidRPr="00113E09" w:rsidRDefault="0027724B" w:rsidP="00B91E67">
      <w:r w:rsidRPr="00113E09">
        <w:t xml:space="preserve">Overall, the model simulated well the timing of the capping inversion during this January episode. </w:t>
      </w:r>
      <w:r w:rsidRPr="00113E09">
        <w:rPr>
          <w:lang w:val="en"/>
        </w:rPr>
        <w:t>PM</w:t>
      </w:r>
      <w:r w:rsidRPr="00113E09">
        <w:rPr>
          <w:vertAlign w:val="subscript"/>
          <w:lang w:val="en"/>
        </w:rPr>
        <w:t>2.5</w:t>
      </w:r>
      <w:r w:rsidRPr="00113E09">
        <w:t xml:space="preserve"> chemical species, particularly nitrate, are also well simulated in the model, suggesting that this episode is suitable for</w:t>
      </w:r>
      <w:r w:rsidR="00C2510D" w:rsidRPr="00113E09">
        <w:t xml:space="preserve"> </w:t>
      </w:r>
      <w:r w:rsidRPr="00113E09">
        <w:t xml:space="preserve">modeling. </w:t>
      </w:r>
    </w:p>
    <w:p w14:paraId="33071D33" w14:textId="77777777" w:rsidR="00C2510D" w:rsidRPr="005B4BCB" w:rsidRDefault="00C2510D" w:rsidP="00C2510D">
      <w:pPr>
        <w:jc w:val="both"/>
        <w:rPr>
          <w:rFonts w:cs="Times New Roman"/>
          <w:color w:val="4F81BD" w:themeColor="accent1"/>
        </w:rPr>
      </w:pPr>
    </w:p>
    <w:p w14:paraId="36C705F2" w14:textId="77777777" w:rsidR="00C5554D" w:rsidRDefault="00C2510D" w:rsidP="00C5554D">
      <w:pPr>
        <w:keepNext/>
      </w:pPr>
      <w:r>
        <w:rPr>
          <w:noProof/>
        </w:rPr>
        <w:lastRenderedPageBreak/>
        <w:drawing>
          <wp:inline distT="0" distB="0" distL="0" distR="0" wp14:anchorId="6F0620EA" wp14:editId="30DC19DA">
            <wp:extent cx="2743200" cy="2926080"/>
            <wp:effectExtent l="0" t="0" r="0" b="7620"/>
            <wp:docPr id="11" name="Chart 1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587B36">
        <w:rPr>
          <w:noProof/>
        </w:rPr>
        <w:t xml:space="preserve"> </w:t>
      </w:r>
      <w:r>
        <w:rPr>
          <w:noProof/>
        </w:rPr>
        <w:t xml:space="preserve">      </w:t>
      </w:r>
      <w:r>
        <w:rPr>
          <w:noProof/>
        </w:rPr>
        <w:drawing>
          <wp:inline distT="0" distB="0" distL="0" distR="0" wp14:anchorId="2DC2AA56" wp14:editId="63F0011C">
            <wp:extent cx="2743200" cy="2926080"/>
            <wp:effectExtent l="0" t="0" r="0" b="7620"/>
            <wp:docPr id="12" name="Chart 12">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8EDDDD" w14:textId="36A7F2C9" w:rsidR="006E52FE" w:rsidRPr="00113E09" w:rsidRDefault="00C5554D" w:rsidP="00C5554D">
      <w:pPr>
        <w:pStyle w:val="Caption"/>
        <w:rPr>
          <w:color w:val="auto"/>
        </w:rPr>
      </w:pPr>
      <w:bookmarkStart w:id="75" w:name="_Toc17269008"/>
      <w:r w:rsidRPr="00113E09">
        <w:rPr>
          <w:color w:val="auto"/>
        </w:rPr>
        <w:t xml:space="preserve">Figure IX.A.36. </w:t>
      </w:r>
      <w:r w:rsidR="00767843" w:rsidRPr="00113E09">
        <w:rPr>
          <w:color w:val="auto"/>
        </w:rPr>
        <w:fldChar w:fldCharType="begin"/>
      </w:r>
      <w:r w:rsidR="00767843" w:rsidRPr="00113E09">
        <w:rPr>
          <w:color w:val="auto"/>
        </w:rPr>
        <w:instrText xml:space="preserve"> SEQ Figure_IX.A.36. \* ARABIC </w:instrText>
      </w:r>
      <w:r w:rsidR="00767843" w:rsidRPr="00113E09">
        <w:rPr>
          <w:color w:val="auto"/>
        </w:rPr>
        <w:fldChar w:fldCharType="separate"/>
      </w:r>
      <w:r w:rsidR="00767843">
        <w:rPr>
          <w:noProof/>
          <w:color w:val="auto"/>
        </w:rPr>
        <w:t>6</w:t>
      </w:r>
      <w:r w:rsidR="00767843" w:rsidRPr="00113E09">
        <w:rPr>
          <w:noProof/>
          <w:color w:val="auto"/>
        </w:rPr>
        <w:fldChar w:fldCharType="end"/>
      </w:r>
      <w:r w:rsidRPr="00113E09">
        <w:rPr>
          <w:color w:val="auto"/>
        </w:rPr>
        <w:t xml:space="preserve"> a) Measured and b) Modeled Species Contribution (in </w:t>
      </w:r>
      <w:r w:rsidR="00792B38" w:rsidRPr="00113E09">
        <w:rPr>
          <w:color w:val="auto"/>
        </w:rPr>
        <w:t>µ</w:t>
      </w:r>
      <w:r w:rsidR="0084508F" w:rsidRPr="00113E09">
        <w:rPr>
          <w:color w:val="auto"/>
        </w:rPr>
        <w:t>g/m</w:t>
      </w:r>
      <w:r w:rsidR="0084508F" w:rsidRPr="00113E09">
        <w:rPr>
          <w:color w:val="auto"/>
          <w:vertAlign w:val="superscript"/>
        </w:rPr>
        <w:t>3</w:t>
      </w:r>
      <w:r w:rsidR="0084508F" w:rsidRPr="00113E09">
        <w:rPr>
          <w:color w:val="auto"/>
        </w:rPr>
        <w:t xml:space="preserve"> and </w:t>
      </w:r>
      <w:r w:rsidRPr="00113E09">
        <w:rPr>
          <w:color w:val="auto"/>
        </w:rPr>
        <w:t>%) to PM</w:t>
      </w:r>
      <w:r w:rsidRPr="00113E09">
        <w:rPr>
          <w:color w:val="auto"/>
          <w:vertAlign w:val="subscript"/>
        </w:rPr>
        <w:t>2.5</w:t>
      </w:r>
      <w:r w:rsidRPr="00113E09">
        <w:rPr>
          <w:color w:val="auto"/>
        </w:rPr>
        <w:t xml:space="preserve"> at Hawthorne Monitoring Station in the SLC NAA on a Typical 24-hr PM</w:t>
      </w:r>
      <w:r w:rsidRPr="00113E09">
        <w:rPr>
          <w:color w:val="auto"/>
          <w:vertAlign w:val="subscript"/>
        </w:rPr>
        <w:t>2.5</w:t>
      </w:r>
      <w:r w:rsidRPr="00113E09">
        <w:rPr>
          <w:color w:val="auto"/>
        </w:rPr>
        <w:t xml:space="preserve"> Exceedance Day</w:t>
      </w:r>
      <w:bookmarkEnd w:id="75"/>
    </w:p>
    <w:p w14:paraId="32F7FF33" w14:textId="7EA68594" w:rsidR="00C2510D" w:rsidRPr="00113E09" w:rsidRDefault="00C2510D" w:rsidP="006E52FE">
      <w:pPr>
        <w:pStyle w:val="Caption"/>
        <w:rPr>
          <w:color w:val="auto"/>
        </w:rPr>
      </w:pPr>
    </w:p>
    <w:p w14:paraId="6F839065" w14:textId="2A88B531" w:rsidR="006C4ED4" w:rsidRPr="00113E09" w:rsidRDefault="003120E3" w:rsidP="00D56DC6">
      <w:pPr>
        <w:keepNext/>
        <w:rPr>
          <w:i/>
          <w:lang w:val="en"/>
        </w:rPr>
      </w:pPr>
      <w:r w:rsidRPr="00113E09">
        <w:t xml:space="preserve"> </w:t>
      </w:r>
      <w:r w:rsidR="006C4ED4" w:rsidRPr="00113E09">
        <w:rPr>
          <w:i/>
          <w:lang w:val="en"/>
        </w:rPr>
        <w:t>December 7-19, 2013</w:t>
      </w:r>
    </w:p>
    <w:p w14:paraId="25475839" w14:textId="0C9D4EE7" w:rsidR="006C4ED4" w:rsidRPr="00113E09" w:rsidRDefault="006C4ED4" w:rsidP="006C4ED4">
      <w:pPr>
        <w:pStyle w:val="NormalWeb"/>
        <w:spacing w:line="276" w:lineRule="auto"/>
        <w:jc w:val="both"/>
        <w:rPr>
          <w:sz w:val="22"/>
          <w:szCs w:val="22"/>
          <w:lang w:val="en"/>
        </w:rPr>
      </w:pPr>
      <w:r w:rsidRPr="00113E09">
        <w:rPr>
          <w:sz w:val="22"/>
          <w:szCs w:val="22"/>
          <w:lang w:val="en"/>
        </w:rPr>
        <w:t>A comparison of modeled and measured 24-hr PM</w:t>
      </w:r>
      <w:r w:rsidRPr="00113E09">
        <w:rPr>
          <w:sz w:val="22"/>
          <w:szCs w:val="22"/>
          <w:vertAlign w:val="subscript"/>
          <w:lang w:val="en"/>
        </w:rPr>
        <w:t>2.5</w:t>
      </w:r>
      <w:r w:rsidRPr="00113E09">
        <w:rPr>
          <w:sz w:val="22"/>
          <w:szCs w:val="22"/>
          <w:lang w:val="en"/>
        </w:rPr>
        <w:t xml:space="preserve"> at Hawthorne during the December 7-19, 2013</w:t>
      </w:r>
      <w:r w:rsidR="003E4B3B" w:rsidRPr="00113E09">
        <w:rPr>
          <w:sz w:val="22"/>
          <w:szCs w:val="22"/>
          <w:lang w:val="en"/>
        </w:rPr>
        <w:t>,</w:t>
      </w:r>
      <w:r w:rsidRPr="00113E09">
        <w:rPr>
          <w:sz w:val="22"/>
          <w:szCs w:val="22"/>
          <w:lang w:val="en"/>
        </w:rPr>
        <w:t xml:space="preserve"> episode showed that the model did not represent well the temporal variation in PM</w:t>
      </w:r>
      <w:r w:rsidRPr="00113E09">
        <w:rPr>
          <w:sz w:val="22"/>
          <w:szCs w:val="22"/>
          <w:vertAlign w:val="subscript"/>
          <w:lang w:val="en"/>
        </w:rPr>
        <w:t>2.5</w:t>
      </w:r>
      <w:r w:rsidRPr="00113E09">
        <w:rPr>
          <w:sz w:val="22"/>
          <w:szCs w:val="22"/>
          <w:lang w:val="en"/>
        </w:rPr>
        <w:t xml:space="preserve"> and the capping inversion (Figure</w:t>
      </w:r>
      <w:r w:rsidR="003A6E2C" w:rsidRPr="00113E09">
        <w:rPr>
          <w:sz w:val="22"/>
          <w:szCs w:val="22"/>
          <w:lang w:val="en"/>
        </w:rPr>
        <w:t xml:space="preserve"> IX.A.36.</w:t>
      </w:r>
      <w:r w:rsidR="00574A1A" w:rsidRPr="00113E09">
        <w:rPr>
          <w:sz w:val="22"/>
          <w:szCs w:val="22"/>
          <w:lang w:val="en"/>
        </w:rPr>
        <w:t>7</w:t>
      </w:r>
      <w:r w:rsidRPr="00113E09">
        <w:rPr>
          <w:sz w:val="22"/>
          <w:szCs w:val="22"/>
          <w:lang w:val="en"/>
        </w:rPr>
        <w:t>). While observations show peak PM</w:t>
      </w:r>
      <w:r w:rsidRPr="00113E09">
        <w:rPr>
          <w:sz w:val="22"/>
          <w:szCs w:val="22"/>
          <w:vertAlign w:val="subscript"/>
          <w:lang w:val="en"/>
        </w:rPr>
        <w:t>2.5</w:t>
      </w:r>
      <w:r w:rsidRPr="00113E09">
        <w:rPr>
          <w:sz w:val="22"/>
          <w:szCs w:val="22"/>
          <w:lang w:val="en"/>
        </w:rPr>
        <w:t xml:space="preserve"> concentrations during December 14-15, CAMx is simulating a drop in PM</w:t>
      </w:r>
      <w:r w:rsidRPr="00113E09">
        <w:rPr>
          <w:sz w:val="22"/>
          <w:szCs w:val="22"/>
          <w:vertAlign w:val="subscript"/>
          <w:lang w:val="en"/>
        </w:rPr>
        <w:t>2.5</w:t>
      </w:r>
      <w:r w:rsidRPr="00113E09">
        <w:rPr>
          <w:sz w:val="22"/>
          <w:szCs w:val="22"/>
          <w:lang w:val="en"/>
        </w:rPr>
        <w:t xml:space="preserve"> levels. This can be attributed to </w:t>
      </w:r>
      <w:r w:rsidR="00113E09" w:rsidRPr="00113E09">
        <w:rPr>
          <w:sz w:val="22"/>
          <w:szCs w:val="22"/>
          <w:lang w:val="en"/>
        </w:rPr>
        <w:t>t</w:t>
      </w:r>
      <w:r w:rsidR="00113E09" w:rsidRPr="00113E09">
        <w:rPr>
          <w:sz w:val="22"/>
          <w:szCs w:val="22"/>
        </w:rPr>
        <w:t>he</w:t>
      </w:r>
      <w:r w:rsidRPr="00113E09">
        <w:rPr>
          <w:sz w:val="22"/>
          <w:szCs w:val="22"/>
        </w:rPr>
        <w:t xml:space="preserve"> WRF model not properly capturing the cold overnight low temperatures that were observed on these days</w:t>
      </w:r>
      <w:r w:rsidRPr="00113E09">
        <w:rPr>
          <w:rStyle w:val="FootnoteReference"/>
          <w:sz w:val="22"/>
          <w:szCs w:val="22"/>
        </w:rPr>
        <w:footnoteReference w:id="25"/>
      </w:r>
      <w:r w:rsidRPr="00113E09">
        <w:rPr>
          <w:sz w:val="22"/>
          <w:szCs w:val="22"/>
        </w:rPr>
        <w:t xml:space="preserve">. </w:t>
      </w:r>
    </w:p>
    <w:p w14:paraId="6F280433" w14:textId="77777777" w:rsidR="00C5554D" w:rsidRDefault="006C4ED4" w:rsidP="00C5554D">
      <w:pPr>
        <w:keepNext/>
      </w:pPr>
      <w:r>
        <w:rPr>
          <w:noProof/>
        </w:rPr>
        <w:lastRenderedPageBreak/>
        <w:drawing>
          <wp:inline distT="0" distB="0" distL="0" distR="0" wp14:anchorId="58274E83" wp14:editId="79C56638">
            <wp:extent cx="3840480" cy="2560320"/>
            <wp:effectExtent l="0" t="0" r="7620" b="0"/>
            <wp:docPr id="19" name="Chart 19">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E99D98" w14:textId="08E65F42" w:rsidR="00D56DC6" w:rsidRPr="00113E09" w:rsidRDefault="00C5554D" w:rsidP="00C5554D">
      <w:pPr>
        <w:pStyle w:val="Caption"/>
        <w:rPr>
          <w:color w:val="auto"/>
        </w:rPr>
      </w:pPr>
      <w:bookmarkStart w:id="76" w:name="_Toc17269009"/>
      <w:r w:rsidRPr="00113E09">
        <w:rPr>
          <w:color w:val="auto"/>
        </w:rPr>
        <w:t xml:space="preserve">Figure IX.A.36. </w:t>
      </w:r>
      <w:r w:rsidR="00767843" w:rsidRPr="00113E09">
        <w:rPr>
          <w:color w:val="auto"/>
        </w:rPr>
        <w:fldChar w:fldCharType="begin"/>
      </w:r>
      <w:r w:rsidR="00767843" w:rsidRPr="00113E09">
        <w:rPr>
          <w:color w:val="auto"/>
        </w:rPr>
        <w:instrText xml:space="preserve"> SEQ Figure_IX.A.36. \* ARABIC </w:instrText>
      </w:r>
      <w:r w:rsidR="00767843" w:rsidRPr="00113E09">
        <w:rPr>
          <w:color w:val="auto"/>
        </w:rPr>
        <w:fldChar w:fldCharType="separate"/>
      </w:r>
      <w:r w:rsidR="00767843">
        <w:rPr>
          <w:noProof/>
          <w:color w:val="auto"/>
        </w:rPr>
        <w:t>7</w:t>
      </w:r>
      <w:r w:rsidR="00767843" w:rsidRPr="00113E09">
        <w:rPr>
          <w:noProof/>
          <w:color w:val="auto"/>
        </w:rPr>
        <w:fldChar w:fldCharType="end"/>
      </w:r>
      <w:r w:rsidRPr="00113E09">
        <w:rPr>
          <w:color w:val="auto"/>
        </w:rPr>
        <w:t xml:space="preserve"> Measured and Modeled 24-hr PM</w:t>
      </w:r>
      <w:r w:rsidRPr="00113E09">
        <w:rPr>
          <w:color w:val="auto"/>
          <w:vertAlign w:val="subscript"/>
        </w:rPr>
        <w:t>2.5</w:t>
      </w:r>
      <w:r w:rsidRPr="00113E09">
        <w:rPr>
          <w:color w:val="auto"/>
        </w:rPr>
        <w:t xml:space="preserve"> Concentrations During December 7-19, 2013</w:t>
      </w:r>
      <w:r w:rsidR="003E4B3B" w:rsidRPr="00113E09">
        <w:rPr>
          <w:color w:val="auto"/>
        </w:rPr>
        <w:t>,</w:t>
      </w:r>
      <w:r w:rsidRPr="00113E09">
        <w:rPr>
          <w:color w:val="auto"/>
        </w:rPr>
        <w:t xml:space="preserve"> at Hawthorne Monitoring Station in the SLC NAA</w:t>
      </w:r>
      <w:bookmarkEnd w:id="76"/>
    </w:p>
    <w:p w14:paraId="7FC1679F" w14:textId="77777777" w:rsidR="00AC4C5E" w:rsidRPr="00113E09" w:rsidRDefault="00AC4C5E" w:rsidP="00AC4C5E"/>
    <w:p w14:paraId="293B43C8" w14:textId="071FD75F" w:rsidR="006C4ED4" w:rsidRPr="00113E09" w:rsidRDefault="006C4ED4" w:rsidP="006C4ED4">
      <w:r w:rsidRPr="00113E09">
        <w:rPr>
          <w:lang w:val="en"/>
        </w:rPr>
        <w:t>To further evaluate the model performance, modeled and measured PM</w:t>
      </w:r>
      <w:r w:rsidRPr="00113E09">
        <w:rPr>
          <w:vertAlign w:val="subscript"/>
          <w:lang w:val="en"/>
        </w:rPr>
        <w:t>2.5</w:t>
      </w:r>
      <w:r w:rsidRPr="00113E09">
        <w:rPr>
          <w:lang w:val="en"/>
        </w:rPr>
        <w:t xml:space="preserve"> chemical species on December 15, which corresponds to a PM</w:t>
      </w:r>
      <w:r w:rsidRPr="00113E09">
        <w:rPr>
          <w:vertAlign w:val="subscript"/>
          <w:lang w:val="en"/>
        </w:rPr>
        <w:t>2.5</w:t>
      </w:r>
      <w:r w:rsidRPr="00113E09">
        <w:rPr>
          <w:lang w:val="en"/>
        </w:rPr>
        <w:t xml:space="preserve"> exceedance day with available speciation measurements, were compared for Hawthorne (Figure </w:t>
      </w:r>
      <w:r w:rsidR="002D44B4" w:rsidRPr="00113E09">
        <w:rPr>
          <w:lang w:val="en"/>
        </w:rPr>
        <w:t>IX.A.36.</w:t>
      </w:r>
      <w:r w:rsidR="00574A1A" w:rsidRPr="00113E09">
        <w:rPr>
          <w:lang w:val="en"/>
        </w:rPr>
        <w:t>8</w:t>
      </w:r>
      <w:r w:rsidRPr="00113E09">
        <w:rPr>
          <w:lang w:val="en"/>
        </w:rPr>
        <w:t xml:space="preserve">). Nitrate and ammonium are both underpredicted in the model, which can be partly related to the meteorological model performance, where WRF overpredicted surface temperatures, leading to increased mixing. Moreover, similarly to the model performance for the January 2011 episode, crustal material is overpredicted in the model. An adjustment to paved road dust emissions was not applied for the December 2013 simulations. </w:t>
      </w:r>
      <w:r w:rsidR="00850C71" w:rsidRPr="00113E09">
        <w:rPr>
          <w:lang w:val="en"/>
        </w:rPr>
        <w:t>Chlori</w:t>
      </w:r>
      <w:r w:rsidR="00945531" w:rsidRPr="00113E09">
        <w:rPr>
          <w:lang w:val="en"/>
        </w:rPr>
        <w:t>d</w:t>
      </w:r>
      <w:r w:rsidR="00850C71" w:rsidRPr="00113E09">
        <w:rPr>
          <w:lang w:val="en"/>
        </w:rPr>
        <w:t>e (</w:t>
      </w:r>
      <w:r w:rsidRPr="00113E09">
        <w:rPr>
          <w:lang w:val="en"/>
        </w:rPr>
        <w:t>Cl</w:t>
      </w:r>
      <w:r w:rsidR="00850C71" w:rsidRPr="00113E09">
        <w:rPr>
          <w:lang w:val="en"/>
        </w:rPr>
        <w:t>)</w:t>
      </w:r>
      <w:r w:rsidRPr="00113E09">
        <w:rPr>
          <w:lang w:val="en"/>
        </w:rPr>
        <w:t xml:space="preserve"> was also underestimated in the model while the performance for sulfate and OC was acceptable.</w:t>
      </w:r>
    </w:p>
    <w:p w14:paraId="61A40F7E" w14:textId="625F40BF" w:rsidR="006C4ED4" w:rsidRPr="00113E09" w:rsidRDefault="006C4ED4" w:rsidP="006C4ED4">
      <w:pPr>
        <w:jc w:val="both"/>
        <w:rPr>
          <w:lang w:val="en"/>
        </w:rPr>
      </w:pPr>
      <w:r w:rsidRPr="00113E09">
        <w:rPr>
          <w:lang w:val="en"/>
        </w:rPr>
        <w:t>Given that the strength of the capping inversion and timing of the PM</w:t>
      </w:r>
      <w:r w:rsidRPr="00113E09">
        <w:rPr>
          <w:vertAlign w:val="subscript"/>
          <w:lang w:val="en"/>
        </w:rPr>
        <w:t>2.5</w:t>
      </w:r>
      <w:r w:rsidRPr="00113E09">
        <w:rPr>
          <w:lang w:val="en"/>
        </w:rPr>
        <w:t xml:space="preserve"> peaks were not well simulated</w:t>
      </w:r>
      <w:r w:rsidR="00CF212F" w:rsidRPr="00113E09">
        <w:rPr>
          <w:lang w:val="en"/>
        </w:rPr>
        <w:t xml:space="preserve">, using </w:t>
      </w:r>
      <w:r w:rsidR="00850C71" w:rsidRPr="00113E09">
        <w:rPr>
          <w:lang w:val="en"/>
        </w:rPr>
        <w:t xml:space="preserve">the </w:t>
      </w:r>
      <w:r w:rsidRPr="00113E09">
        <w:rPr>
          <w:lang w:val="en"/>
        </w:rPr>
        <w:t xml:space="preserve">December 2013 episode for the modeling </w:t>
      </w:r>
      <w:r w:rsidR="00C73FEA" w:rsidRPr="00113E09">
        <w:rPr>
          <w:lang w:val="en"/>
        </w:rPr>
        <w:t xml:space="preserve">demonstration </w:t>
      </w:r>
      <w:r w:rsidRPr="00113E09">
        <w:rPr>
          <w:lang w:val="en"/>
        </w:rPr>
        <w:t xml:space="preserve">is not desirable. </w:t>
      </w:r>
    </w:p>
    <w:p w14:paraId="6DF34BAF" w14:textId="77777777" w:rsidR="006C4ED4" w:rsidRPr="006C0212" w:rsidRDefault="006C4ED4" w:rsidP="006C4ED4">
      <w:pPr>
        <w:rPr>
          <w:color w:val="4F81BD" w:themeColor="accent1"/>
          <w:lang w:val="en"/>
        </w:rPr>
      </w:pPr>
    </w:p>
    <w:p w14:paraId="29AB5C88" w14:textId="77777777" w:rsidR="006C4ED4" w:rsidRDefault="006C4ED4" w:rsidP="006C4ED4">
      <w:pPr>
        <w:rPr>
          <w:b/>
          <w:lang w:val="en"/>
        </w:rPr>
      </w:pPr>
    </w:p>
    <w:p w14:paraId="1DA57C2E" w14:textId="3B8F2F3D" w:rsidR="00A867FD" w:rsidRDefault="00803F37" w:rsidP="00A867FD">
      <w:pPr>
        <w:keepNext/>
      </w:pPr>
      <w:r>
        <w:rPr>
          <w:noProof/>
        </w:rPr>
        <w:lastRenderedPageBreak/>
        <mc:AlternateContent>
          <mc:Choice Requires="wps">
            <w:drawing>
              <wp:anchor distT="0" distB="0" distL="114300" distR="114300" simplePos="0" relativeHeight="251660800" behindDoc="0" locked="0" layoutInCell="1" allowOverlap="1" wp14:anchorId="4647B1A6" wp14:editId="4C69DCE1">
                <wp:simplePos x="0" y="0"/>
                <wp:positionH relativeFrom="column">
                  <wp:posOffset>167005</wp:posOffset>
                </wp:positionH>
                <wp:positionV relativeFrom="paragraph">
                  <wp:posOffset>0</wp:posOffset>
                </wp:positionV>
                <wp:extent cx="501015" cy="26225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 cy="262255"/>
                        </a:xfrm>
                        <a:prstGeom prst="rect">
                          <a:avLst/>
                        </a:prstGeom>
                        <a:solidFill>
                          <a:schemeClr val="lt1"/>
                        </a:solidFill>
                        <a:ln w="6350">
                          <a:noFill/>
                        </a:ln>
                      </wps:spPr>
                      <wps:txbx>
                        <w:txbxContent>
                          <w:p w14:paraId="169482C9" w14:textId="77777777" w:rsidR="003D0BAC" w:rsidRPr="00742AB3" w:rsidRDefault="003D0BAC" w:rsidP="006C4ED4">
                            <w:pPr>
                              <w:rPr>
                                <w:b/>
                              </w:rPr>
                            </w:pPr>
                            <w:r w:rsidRPr="00742AB3">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647B1A6" id="_x0000_t202" coordsize="21600,21600" o:spt="202" path="m,l,21600r21600,l21600,xe">
                <v:stroke joinstyle="miter"/>
                <v:path gradientshapeok="t" o:connecttype="rect"/>
              </v:shapetype>
              <v:shape id="Text Box 15" o:spid="_x0000_s1026" type="#_x0000_t202" style="position:absolute;margin-left:13.15pt;margin-top:0;width:39.45pt;height:20.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" fillcolor="white [3201]" stroked="f" strokeweight=".5pt">
                <v:textbox>
                  <w:txbxContent>
                    <w:p w14:paraId="169482C9" w14:textId="77777777" w:rsidR="003D0BAC" w:rsidRPr="00742AB3" w:rsidRDefault="003D0BAC" w:rsidP="006C4ED4">
                      <w:pPr>
                        <w:rPr>
                          <w:b/>
                        </w:rPr>
                      </w:pPr>
                      <w:r w:rsidRPr="00742AB3">
                        <w:rPr>
                          <w:b/>
                        </w:rPr>
                        <w:t>a)</w:t>
                      </w:r>
                    </w:p>
                  </w:txbxContent>
                </v:textbox>
              </v:shape>
            </w:pict>
          </mc:Fallback>
        </mc:AlternateContent>
      </w:r>
      <w:r w:rsidR="006C4ED4">
        <w:rPr>
          <w:noProof/>
        </w:rPr>
        <w:drawing>
          <wp:inline distT="0" distB="0" distL="0" distR="0" wp14:anchorId="5E317CA1" wp14:editId="5AD9F82C">
            <wp:extent cx="2743200" cy="3108960"/>
            <wp:effectExtent l="0" t="0" r="0" b="0"/>
            <wp:docPr id="21" name="Chart 21">
              <a:extLst xmlns:a="http://schemas.openxmlformats.org/drawingml/2006/main">
                <a:ext uri="{FF2B5EF4-FFF2-40B4-BE49-F238E27FC236}">
                  <a16:creationId xmlns:a16="http://schemas.microsoft.com/office/drawing/2014/main" id="{123A3DE3-4AD8-4889-AE6F-ECE8DC22B6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6C4ED4">
        <w:rPr>
          <w:noProof/>
        </w:rPr>
        <w:t xml:space="preserve"> </w:t>
      </w:r>
      <w:r w:rsidR="006C4ED4">
        <w:rPr>
          <w:noProof/>
        </w:rPr>
        <w:drawing>
          <wp:inline distT="0" distB="0" distL="0" distR="0" wp14:anchorId="762754E4" wp14:editId="4A8D4B97">
            <wp:extent cx="2743200" cy="3108960"/>
            <wp:effectExtent l="0" t="0" r="0" b="0"/>
            <wp:docPr id="22" name="Chart 22">
              <a:extLst xmlns:a="http://schemas.openxmlformats.org/drawingml/2006/main">
                <a:ext uri="{FF2B5EF4-FFF2-40B4-BE49-F238E27FC236}">
                  <a16:creationId xmlns:a16="http://schemas.microsoft.com/office/drawing/2014/main" id="{EFD120C2-3603-41AA-9AA4-CC0710AAF4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A8E52A" w14:textId="26BDB5B8" w:rsidR="00A867FD" w:rsidRPr="00113E09" w:rsidRDefault="00A867FD" w:rsidP="00A867FD">
      <w:pPr>
        <w:pStyle w:val="Caption"/>
        <w:rPr>
          <w:b w:val="0"/>
          <w:color w:val="auto"/>
          <w:lang w:val="en"/>
        </w:rPr>
      </w:pPr>
      <w:bookmarkStart w:id="77" w:name="_Toc17269010"/>
      <w:r w:rsidRPr="00113E09">
        <w:rPr>
          <w:color w:val="auto"/>
        </w:rPr>
        <w:t xml:space="preserve">Figure IX.A.36. </w:t>
      </w:r>
      <w:r w:rsidR="00767843" w:rsidRPr="00113E09">
        <w:rPr>
          <w:color w:val="auto"/>
        </w:rPr>
        <w:fldChar w:fldCharType="begin"/>
      </w:r>
      <w:r w:rsidR="00767843" w:rsidRPr="00113E09">
        <w:rPr>
          <w:color w:val="auto"/>
        </w:rPr>
        <w:instrText xml:space="preserve"> SEQ Figure_IX.A.36. \* ARABIC </w:instrText>
      </w:r>
      <w:r w:rsidR="00767843" w:rsidRPr="00113E09">
        <w:rPr>
          <w:color w:val="auto"/>
        </w:rPr>
        <w:fldChar w:fldCharType="separate"/>
      </w:r>
      <w:r w:rsidR="00767843">
        <w:rPr>
          <w:noProof/>
          <w:color w:val="auto"/>
        </w:rPr>
        <w:t>8</w:t>
      </w:r>
      <w:r w:rsidR="00767843" w:rsidRPr="00113E09">
        <w:rPr>
          <w:noProof/>
          <w:color w:val="auto"/>
        </w:rPr>
        <w:fldChar w:fldCharType="end"/>
      </w:r>
      <w:r w:rsidR="003E4B3B" w:rsidRPr="00113E09">
        <w:rPr>
          <w:color w:val="auto"/>
        </w:rPr>
        <w:t xml:space="preserve"> </w:t>
      </w:r>
      <w:r w:rsidR="00033A83" w:rsidRPr="00113E09">
        <w:rPr>
          <w:color w:val="auto"/>
        </w:rPr>
        <w:t xml:space="preserve">a) </w:t>
      </w:r>
      <w:r w:rsidRPr="00113E09">
        <w:rPr>
          <w:color w:val="auto"/>
        </w:rPr>
        <w:t xml:space="preserve">Measured and </w:t>
      </w:r>
      <w:r w:rsidR="00033A83" w:rsidRPr="00113E09">
        <w:rPr>
          <w:color w:val="auto"/>
        </w:rPr>
        <w:t xml:space="preserve">b) </w:t>
      </w:r>
      <w:r w:rsidRPr="00113E09">
        <w:rPr>
          <w:color w:val="auto"/>
        </w:rPr>
        <w:t>Modeled Chemical Composition of 24-hr PM</w:t>
      </w:r>
      <w:r w:rsidRPr="00113E09">
        <w:rPr>
          <w:color w:val="auto"/>
          <w:vertAlign w:val="subscript"/>
        </w:rPr>
        <w:t>2.5</w:t>
      </w:r>
      <w:r w:rsidRPr="00113E09">
        <w:rPr>
          <w:color w:val="auto"/>
        </w:rPr>
        <w:t xml:space="preserve"> in </w:t>
      </w:r>
      <w:r w:rsidR="00792B38" w:rsidRPr="00113E09">
        <w:rPr>
          <w:color w:val="auto"/>
        </w:rPr>
        <w:t>µ</w:t>
      </w:r>
      <w:r w:rsidRPr="00113E09">
        <w:rPr>
          <w:color w:val="auto"/>
        </w:rPr>
        <w:t>g/m</w:t>
      </w:r>
      <w:r w:rsidRPr="00113E09">
        <w:rPr>
          <w:color w:val="auto"/>
          <w:vertAlign w:val="superscript"/>
        </w:rPr>
        <w:t>3</w:t>
      </w:r>
      <w:r w:rsidRPr="00113E09">
        <w:rPr>
          <w:color w:val="auto"/>
        </w:rPr>
        <w:t xml:space="preserve"> and % </w:t>
      </w:r>
      <w:r w:rsidR="00033A83" w:rsidRPr="00113E09">
        <w:rPr>
          <w:color w:val="auto"/>
        </w:rPr>
        <w:t>of PM</w:t>
      </w:r>
      <w:r w:rsidR="00033A83" w:rsidRPr="00113E09">
        <w:rPr>
          <w:color w:val="auto"/>
          <w:vertAlign w:val="subscript"/>
        </w:rPr>
        <w:t>2.5</w:t>
      </w:r>
      <w:r w:rsidR="00033A83" w:rsidRPr="00113E09">
        <w:rPr>
          <w:color w:val="auto"/>
        </w:rPr>
        <w:t xml:space="preserve"> at</w:t>
      </w:r>
      <w:r w:rsidRPr="00113E09">
        <w:rPr>
          <w:color w:val="auto"/>
        </w:rPr>
        <w:t xml:space="preserve"> </w:t>
      </w:r>
      <w:r w:rsidR="004A3F7D" w:rsidRPr="00113E09">
        <w:rPr>
          <w:color w:val="auto"/>
        </w:rPr>
        <w:t>Hawthorne</w:t>
      </w:r>
      <w:r w:rsidRPr="00113E09">
        <w:rPr>
          <w:color w:val="auto"/>
        </w:rPr>
        <w:t xml:space="preserve"> Monitoring Station in SLC NAA on December 1</w:t>
      </w:r>
      <w:r w:rsidR="00033A83" w:rsidRPr="00113E09">
        <w:rPr>
          <w:color w:val="auto"/>
        </w:rPr>
        <w:t>5</w:t>
      </w:r>
      <w:r w:rsidRPr="00113E09">
        <w:rPr>
          <w:color w:val="auto"/>
        </w:rPr>
        <w:t>, 2013</w:t>
      </w:r>
      <w:bookmarkEnd w:id="77"/>
    </w:p>
    <w:p w14:paraId="2FD9C853" w14:textId="72D796AE" w:rsidR="00424897" w:rsidRPr="00113E09" w:rsidRDefault="00424897" w:rsidP="00A867FD">
      <w:pPr>
        <w:pStyle w:val="Caption"/>
        <w:rPr>
          <w:color w:val="auto"/>
        </w:rPr>
      </w:pPr>
    </w:p>
    <w:p w14:paraId="7E11C6D2" w14:textId="05408E3D" w:rsidR="006C4ED4" w:rsidRPr="00113E09" w:rsidRDefault="006C4ED4" w:rsidP="006C4ED4">
      <w:pPr>
        <w:jc w:val="both"/>
        <w:rPr>
          <w:rFonts w:cs="Times New Roman"/>
          <w:i/>
          <w:lang w:val="en"/>
        </w:rPr>
      </w:pPr>
      <w:bookmarkStart w:id="78" w:name="_av85ciau5o91" w:colFirst="0" w:colLast="0"/>
      <w:bookmarkEnd w:id="78"/>
      <w:r w:rsidRPr="00113E09">
        <w:rPr>
          <w:rFonts w:cs="Times New Roman"/>
          <w:i/>
          <w:lang w:val="en"/>
        </w:rPr>
        <w:t>February 1-16, 2016</w:t>
      </w:r>
    </w:p>
    <w:p w14:paraId="0B057076" w14:textId="501BE6E9" w:rsidR="006C4ED4" w:rsidRPr="00113E09" w:rsidRDefault="006C4ED4" w:rsidP="00FD4914">
      <w:pPr>
        <w:rPr>
          <w:lang w:val="en"/>
        </w:rPr>
      </w:pPr>
      <w:r w:rsidRPr="00113E09">
        <w:rPr>
          <w:lang w:val="en"/>
        </w:rPr>
        <w:t>A comparison of modeled and measured 24-hr PM</w:t>
      </w:r>
      <w:r w:rsidRPr="00113E09">
        <w:rPr>
          <w:vertAlign w:val="subscript"/>
          <w:lang w:val="en"/>
        </w:rPr>
        <w:t>2.5</w:t>
      </w:r>
      <w:r w:rsidRPr="00113E09">
        <w:rPr>
          <w:lang w:val="en"/>
        </w:rPr>
        <w:t xml:space="preserve"> at Hawthorne monitoring station (Figure </w:t>
      </w:r>
      <w:r w:rsidR="002D44B4" w:rsidRPr="00113E09">
        <w:rPr>
          <w:lang w:val="en"/>
        </w:rPr>
        <w:t>IX.A</w:t>
      </w:r>
      <w:r w:rsidR="00BE2EEC" w:rsidRPr="00113E09">
        <w:rPr>
          <w:lang w:val="en"/>
        </w:rPr>
        <w:t>.</w:t>
      </w:r>
      <w:r w:rsidR="002D44B4" w:rsidRPr="00113E09">
        <w:rPr>
          <w:lang w:val="en"/>
        </w:rPr>
        <w:t>36.</w:t>
      </w:r>
      <w:r w:rsidR="00574A1A" w:rsidRPr="00113E09">
        <w:rPr>
          <w:lang w:val="en"/>
        </w:rPr>
        <w:t>9</w:t>
      </w:r>
      <w:r w:rsidRPr="00113E09">
        <w:rPr>
          <w:lang w:val="en"/>
        </w:rPr>
        <w:t>) shows that PM</w:t>
      </w:r>
      <w:r w:rsidRPr="00113E09">
        <w:rPr>
          <w:vertAlign w:val="subscript"/>
          <w:lang w:val="en"/>
        </w:rPr>
        <w:t>2.5</w:t>
      </w:r>
      <w:r w:rsidRPr="00113E09">
        <w:rPr>
          <w:lang w:val="en"/>
        </w:rPr>
        <w:t xml:space="preserve"> concentrations are generally biased low in the model and PM</w:t>
      </w:r>
      <w:r w:rsidRPr="00113E09">
        <w:rPr>
          <w:vertAlign w:val="subscript"/>
          <w:lang w:val="en"/>
        </w:rPr>
        <w:t>2.5</w:t>
      </w:r>
      <w:r w:rsidRPr="00113E09">
        <w:rPr>
          <w:lang w:val="en"/>
        </w:rPr>
        <w:t xml:space="preserve"> drops off prematurely in the model. </w:t>
      </w:r>
      <w:r w:rsidRPr="00113E09">
        <w:rPr>
          <w:rFonts w:eastAsia="Times New Roman"/>
        </w:rPr>
        <w:t xml:space="preserve">This can be related to the meteorological model performance, where the mixing height was overestimated due to performance issues related to clouds and fog formation. </w:t>
      </w:r>
      <w:r w:rsidRPr="00113E09">
        <w:t xml:space="preserve">While fog and low clouds were observed </w:t>
      </w:r>
      <w:r w:rsidRPr="00113E09">
        <w:rPr>
          <w:rFonts w:eastAsia="Times New Roman"/>
        </w:rPr>
        <w:t xml:space="preserve">during February 9-15, WRF was </w:t>
      </w:r>
      <w:r w:rsidRPr="00113E09">
        <w:t>unable to properly capture the timing of the fog and clouds formation</w:t>
      </w:r>
      <w:r w:rsidRPr="00113E09">
        <w:rPr>
          <w:rStyle w:val="FootnoteReference"/>
        </w:rPr>
        <w:footnoteReference w:id="26"/>
      </w:r>
      <w:r w:rsidRPr="00113E09">
        <w:rPr>
          <w:rFonts w:eastAsia="Times New Roman"/>
        </w:rPr>
        <w:t>.</w:t>
      </w:r>
    </w:p>
    <w:p w14:paraId="6AB8103E" w14:textId="77777777" w:rsidR="006C4ED4" w:rsidRDefault="006C4ED4" w:rsidP="006C4ED4">
      <w:pPr>
        <w:pStyle w:val="NormalWeb"/>
      </w:pPr>
    </w:p>
    <w:p w14:paraId="33FE6169" w14:textId="77777777" w:rsidR="00A867FD" w:rsidRDefault="006C4ED4" w:rsidP="00A867FD">
      <w:pPr>
        <w:keepNext/>
      </w:pPr>
      <w:r>
        <w:rPr>
          <w:noProof/>
        </w:rPr>
        <w:lastRenderedPageBreak/>
        <w:drawing>
          <wp:inline distT="0" distB="0" distL="0" distR="0" wp14:anchorId="74F91D57" wp14:editId="627B0754">
            <wp:extent cx="3840480" cy="2560320"/>
            <wp:effectExtent l="0" t="0" r="7620" b="0"/>
            <wp:docPr id="23" name="Chart 23">
              <a:extLst xmlns:a="http://schemas.openxmlformats.org/drawingml/2006/main">
                <a:ext uri="{FF2B5EF4-FFF2-40B4-BE49-F238E27FC236}">
                  <a16:creationId xmlns:a16="http://schemas.microsoft.com/office/drawing/2014/main" id="{3A3E4722-59F3-4AD3-BD42-DA84C3660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35D1282" w14:textId="00205221" w:rsidR="009A6C46" w:rsidRPr="00113E09" w:rsidRDefault="00A867FD" w:rsidP="00A867FD">
      <w:pPr>
        <w:pStyle w:val="Caption"/>
        <w:rPr>
          <w:color w:val="auto"/>
        </w:rPr>
      </w:pPr>
      <w:bookmarkStart w:id="79" w:name="_Toc17269011"/>
      <w:r w:rsidRPr="00113E09">
        <w:rPr>
          <w:color w:val="auto"/>
        </w:rPr>
        <w:t xml:space="preserve">Figure IX.A.36. </w:t>
      </w:r>
      <w:r w:rsidR="00767843" w:rsidRPr="00113E09">
        <w:rPr>
          <w:color w:val="auto"/>
        </w:rPr>
        <w:fldChar w:fldCharType="begin"/>
      </w:r>
      <w:r w:rsidR="00767843" w:rsidRPr="00113E09">
        <w:rPr>
          <w:color w:val="auto"/>
        </w:rPr>
        <w:instrText xml:space="preserve"> SEQ Figure_IX.A.36. \* ARABIC </w:instrText>
      </w:r>
      <w:r w:rsidR="00767843" w:rsidRPr="00113E09">
        <w:rPr>
          <w:color w:val="auto"/>
        </w:rPr>
        <w:fldChar w:fldCharType="separate"/>
      </w:r>
      <w:r w:rsidR="00767843">
        <w:rPr>
          <w:noProof/>
          <w:color w:val="auto"/>
        </w:rPr>
        <w:t>9</w:t>
      </w:r>
      <w:r w:rsidR="00767843" w:rsidRPr="00113E09">
        <w:rPr>
          <w:noProof/>
          <w:color w:val="auto"/>
        </w:rPr>
        <w:fldChar w:fldCharType="end"/>
      </w:r>
      <w:r w:rsidRPr="00113E09">
        <w:rPr>
          <w:color w:val="auto"/>
        </w:rPr>
        <w:t xml:space="preserve"> Measured and Modeled 24-hr PM</w:t>
      </w:r>
      <w:r w:rsidR="00487D49" w:rsidRPr="00113E09">
        <w:rPr>
          <w:color w:val="auto"/>
          <w:vertAlign w:val="subscript"/>
        </w:rPr>
        <w:t>2.5</w:t>
      </w:r>
      <w:r w:rsidRPr="00113E09">
        <w:rPr>
          <w:color w:val="auto"/>
        </w:rPr>
        <w:t xml:space="preserve"> Concentrations During February 1-16, 2016</w:t>
      </w:r>
      <w:r w:rsidR="003E4B3B" w:rsidRPr="00113E09">
        <w:rPr>
          <w:color w:val="auto"/>
        </w:rPr>
        <w:t>,</w:t>
      </w:r>
      <w:r w:rsidRPr="00113E09">
        <w:rPr>
          <w:color w:val="auto"/>
        </w:rPr>
        <w:t xml:space="preserve"> at Hawthorne Monitoring Station in the SLC NAA</w:t>
      </w:r>
      <w:bookmarkEnd w:id="79"/>
    </w:p>
    <w:p w14:paraId="32540F43" w14:textId="62458D60" w:rsidR="006C4ED4" w:rsidRPr="00113E09" w:rsidRDefault="006C4ED4" w:rsidP="009A6C46">
      <w:pPr>
        <w:pStyle w:val="Caption"/>
        <w:rPr>
          <w:b w:val="0"/>
          <w:color w:val="auto"/>
          <w:lang w:val="en"/>
        </w:rPr>
      </w:pPr>
    </w:p>
    <w:p w14:paraId="1C4991A5" w14:textId="7F1405C2" w:rsidR="006C4ED4" w:rsidRPr="00113E09" w:rsidRDefault="00803F37" w:rsidP="006C4ED4">
      <w:pPr>
        <w:rPr>
          <w:lang w:val="en"/>
        </w:rPr>
      </w:pPr>
      <w:r w:rsidRPr="00113E09">
        <w:rPr>
          <w:noProof/>
        </w:rPr>
        <mc:AlternateContent>
          <mc:Choice Requires="wps">
            <w:drawing>
              <wp:anchor distT="0" distB="0" distL="114300" distR="114300" simplePos="0" relativeHeight="251661824" behindDoc="0" locked="0" layoutInCell="1" allowOverlap="1" wp14:anchorId="6674CF3E" wp14:editId="4646B67C">
                <wp:simplePos x="0" y="0"/>
                <wp:positionH relativeFrom="column">
                  <wp:posOffset>92075</wp:posOffset>
                </wp:positionH>
                <wp:positionV relativeFrom="paragraph">
                  <wp:posOffset>981075</wp:posOffset>
                </wp:positionV>
                <wp:extent cx="501015" cy="26225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 cy="262255"/>
                        </a:xfrm>
                        <a:prstGeom prst="rect">
                          <a:avLst/>
                        </a:prstGeom>
                        <a:solidFill>
                          <a:schemeClr val="lt1"/>
                        </a:solidFill>
                        <a:ln w="6350">
                          <a:noFill/>
                        </a:ln>
                      </wps:spPr>
                      <wps:txbx>
                        <w:txbxContent>
                          <w:p w14:paraId="5A6A2080" w14:textId="77777777" w:rsidR="003D0BAC" w:rsidRPr="0010383B" w:rsidRDefault="003D0BAC" w:rsidP="006C4ED4">
                            <w:pPr>
                              <w:rPr>
                                <w:b/>
                              </w:rPr>
                            </w:pPr>
                            <w:r w:rsidRPr="0010383B">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74CF3E" id="Text Box 17" o:spid="_x0000_s1027" type="#_x0000_t202" style="position:absolute;margin-left:7.25pt;margin-top:77.25pt;width:39.45pt;height:20.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" fillcolor="white [3201]" stroked="f" strokeweight=".5pt">
                <v:textbox>
                  <w:txbxContent>
                    <w:p w14:paraId="5A6A2080" w14:textId="77777777" w:rsidR="003D0BAC" w:rsidRPr="0010383B" w:rsidRDefault="003D0BAC" w:rsidP="006C4ED4">
                      <w:pPr>
                        <w:rPr>
                          <w:b/>
                        </w:rPr>
                      </w:pPr>
                      <w:r w:rsidRPr="0010383B">
                        <w:rPr>
                          <w:b/>
                        </w:rPr>
                        <w:t>a)</w:t>
                      </w:r>
                    </w:p>
                  </w:txbxContent>
                </v:textbox>
              </v:shape>
            </w:pict>
          </mc:Fallback>
        </mc:AlternateContent>
      </w:r>
      <w:r w:rsidR="006C4ED4" w:rsidRPr="00113E09">
        <w:rPr>
          <w:lang w:val="en"/>
        </w:rPr>
        <w:t>To further evaluate the model performance, modeled and measured PM</w:t>
      </w:r>
      <w:r w:rsidR="006C4ED4" w:rsidRPr="00113E09">
        <w:rPr>
          <w:vertAlign w:val="subscript"/>
          <w:lang w:val="en"/>
        </w:rPr>
        <w:t>2.5</w:t>
      </w:r>
      <w:r w:rsidR="006C4ED4" w:rsidRPr="00113E09">
        <w:rPr>
          <w:lang w:val="en"/>
        </w:rPr>
        <w:t xml:space="preserve"> chemical species on February 12, which corresponds to a PM</w:t>
      </w:r>
      <w:r w:rsidR="006C4ED4" w:rsidRPr="00113E09">
        <w:rPr>
          <w:vertAlign w:val="subscript"/>
          <w:lang w:val="en"/>
        </w:rPr>
        <w:t>2.5</w:t>
      </w:r>
      <w:r w:rsidR="006C4ED4" w:rsidRPr="00113E09">
        <w:rPr>
          <w:lang w:val="en"/>
        </w:rPr>
        <w:t xml:space="preserve"> exceedance day, were compared for Bountiful monitoring station (Figure </w:t>
      </w:r>
      <w:r w:rsidR="002D44B4" w:rsidRPr="00113E09">
        <w:rPr>
          <w:lang w:val="en"/>
        </w:rPr>
        <w:t>IX.A.36.</w:t>
      </w:r>
      <w:r w:rsidR="00BE2EEC" w:rsidRPr="00113E09">
        <w:rPr>
          <w:lang w:val="en"/>
        </w:rPr>
        <w:t>10</w:t>
      </w:r>
      <w:r w:rsidR="006C4ED4" w:rsidRPr="00113E09">
        <w:rPr>
          <w:lang w:val="en"/>
        </w:rPr>
        <w:t xml:space="preserve">). Complete speciation measurements were not available for Hawthorne. As can be seen, nitrate, ammonium and sulfate were underpredicted in the model. Moreover, similarly to the model performance for the two other episodes, EC and crustal material were overestimated in the model. </w:t>
      </w:r>
    </w:p>
    <w:p w14:paraId="6639F04C" w14:textId="77777777" w:rsidR="009C73F7" w:rsidRPr="00113E09" w:rsidRDefault="006C4ED4" w:rsidP="009C73F7">
      <w:pPr>
        <w:pStyle w:val="Caption"/>
        <w:rPr>
          <w:color w:val="auto"/>
        </w:rPr>
      </w:pPr>
      <w:r w:rsidRPr="00113E09">
        <w:rPr>
          <w:noProof/>
          <w:color w:val="auto"/>
        </w:rPr>
        <w:drawing>
          <wp:inline distT="0" distB="0" distL="0" distR="0" wp14:anchorId="06C20AAE" wp14:editId="168EADED">
            <wp:extent cx="2743200" cy="3108960"/>
            <wp:effectExtent l="0" t="0" r="0" b="0"/>
            <wp:docPr id="24" name="Chart 24">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113E09">
        <w:rPr>
          <w:color w:val="auto"/>
          <w:lang w:val="en"/>
        </w:rPr>
        <w:t xml:space="preserve"> </w:t>
      </w:r>
      <w:r w:rsidRPr="00113E09">
        <w:rPr>
          <w:noProof/>
          <w:color w:val="auto"/>
        </w:rPr>
        <w:drawing>
          <wp:inline distT="0" distB="0" distL="0" distR="0" wp14:anchorId="4256B757" wp14:editId="45365E9F">
            <wp:extent cx="2834640" cy="3108960"/>
            <wp:effectExtent l="0" t="0" r="3810" b="0"/>
            <wp:docPr id="18" name="Chart 18">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68D654" w14:textId="3E2B63CA" w:rsidR="009A6C46" w:rsidRPr="00113E09" w:rsidRDefault="009C73F7" w:rsidP="009C73F7">
      <w:pPr>
        <w:pStyle w:val="Caption"/>
        <w:rPr>
          <w:color w:val="auto"/>
        </w:rPr>
      </w:pPr>
      <w:bookmarkStart w:id="80" w:name="_Toc17269012"/>
      <w:r w:rsidRPr="00113E09">
        <w:rPr>
          <w:color w:val="auto"/>
        </w:rPr>
        <w:t xml:space="preserve">Figure IX.A.36. </w:t>
      </w:r>
      <w:r w:rsidR="00767843" w:rsidRPr="00113E09">
        <w:rPr>
          <w:color w:val="auto"/>
        </w:rPr>
        <w:fldChar w:fldCharType="begin"/>
      </w:r>
      <w:r w:rsidR="00767843" w:rsidRPr="00113E09">
        <w:rPr>
          <w:color w:val="auto"/>
        </w:rPr>
        <w:instrText xml:space="preserve"> SEQ Figure_IX.A.36. \* ARABIC </w:instrText>
      </w:r>
      <w:r w:rsidR="00767843" w:rsidRPr="00113E09">
        <w:rPr>
          <w:color w:val="auto"/>
        </w:rPr>
        <w:fldChar w:fldCharType="separate"/>
      </w:r>
      <w:r w:rsidR="00767843">
        <w:rPr>
          <w:noProof/>
          <w:color w:val="auto"/>
        </w:rPr>
        <w:t>10</w:t>
      </w:r>
      <w:r w:rsidR="00767843" w:rsidRPr="00113E09">
        <w:rPr>
          <w:noProof/>
          <w:color w:val="auto"/>
        </w:rPr>
        <w:fldChar w:fldCharType="end"/>
      </w:r>
      <w:r w:rsidRPr="00113E09">
        <w:rPr>
          <w:color w:val="auto"/>
        </w:rPr>
        <w:t xml:space="preserve"> </w:t>
      </w:r>
      <w:r w:rsidR="00650834" w:rsidRPr="00113E09">
        <w:rPr>
          <w:color w:val="auto"/>
        </w:rPr>
        <w:t xml:space="preserve">a) </w:t>
      </w:r>
      <w:r w:rsidRPr="00113E09">
        <w:rPr>
          <w:color w:val="auto"/>
        </w:rPr>
        <w:t>Measured</w:t>
      </w:r>
      <w:r w:rsidR="00650834" w:rsidRPr="00113E09">
        <w:rPr>
          <w:color w:val="auto"/>
        </w:rPr>
        <w:t xml:space="preserve"> </w:t>
      </w:r>
      <w:r w:rsidRPr="00113E09">
        <w:rPr>
          <w:color w:val="auto"/>
        </w:rPr>
        <w:t xml:space="preserve">and </w:t>
      </w:r>
      <w:r w:rsidR="00650834" w:rsidRPr="00113E09">
        <w:rPr>
          <w:color w:val="auto"/>
        </w:rPr>
        <w:t xml:space="preserve">b) </w:t>
      </w:r>
      <w:r w:rsidR="00A4264C" w:rsidRPr="00113E09">
        <w:rPr>
          <w:color w:val="auto"/>
        </w:rPr>
        <w:t>M</w:t>
      </w:r>
      <w:r w:rsidRPr="00113E09">
        <w:rPr>
          <w:color w:val="auto"/>
        </w:rPr>
        <w:t>odeled</w:t>
      </w:r>
      <w:r w:rsidR="00650834" w:rsidRPr="00113E09">
        <w:rPr>
          <w:color w:val="auto"/>
        </w:rPr>
        <w:t xml:space="preserve"> </w:t>
      </w:r>
      <w:r w:rsidR="00A4264C" w:rsidRPr="00113E09">
        <w:rPr>
          <w:color w:val="auto"/>
        </w:rPr>
        <w:t>C</w:t>
      </w:r>
      <w:r w:rsidRPr="00113E09">
        <w:rPr>
          <w:color w:val="auto"/>
        </w:rPr>
        <w:t xml:space="preserve">hemical </w:t>
      </w:r>
      <w:r w:rsidR="00650834" w:rsidRPr="00113E09">
        <w:rPr>
          <w:color w:val="auto"/>
        </w:rPr>
        <w:t>C</w:t>
      </w:r>
      <w:r w:rsidRPr="00113E09">
        <w:rPr>
          <w:color w:val="auto"/>
        </w:rPr>
        <w:t>omposition of 24-hour PM</w:t>
      </w:r>
      <w:r w:rsidRPr="00113E09">
        <w:rPr>
          <w:color w:val="auto"/>
          <w:vertAlign w:val="subscript"/>
        </w:rPr>
        <w:t>2.5</w:t>
      </w:r>
      <w:r w:rsidRPr="00113E09">
        <w:rPr>
          <w:color w:val="auto"/>
        </w:rPr>
        <w:t xml:space="preserve"> in µg/m</w:t>
      </w:r>
      <w:r w:rsidRPr="00113E09">
        <w:rPr>
          <w:color w:val="auto"/>
          <w:vertAlign w:val="superscript"/>
        </w:rPr>
        <w:t>3</w:t>
      </w:r>
      <w:r w:rsidRPr="00113E09">
        <w:rPr>
          <w:color w:val="auto"/>
        </w:rPr>
        <w:t xml:space="preserve"> and </w:t>
      </w:r>
      <w:r w:rsidR="00650834" w:rsidRPr="00113E09">
        <w:rPr>
          <w:color w:val="auto"/>
        </w:rPr>
        <w:t>%</w:t>
      </w:r>
      <w:r w:rsidRPr="00113E09">
        <w:rPr>
          <w:color w:val="auto"/>
        </w:rPr>
        <w:t xml:space="preserve"> of PM</w:t>
      </w:r>
      <w:r w:rsidRPr="00113E09">
        <w:rPr>
          <w:color w:val="auto"/>
          <w:vertAlign w:val="subscript"/>
        </w:rPr>
        <w:t>2.5</w:t>
      </w:r>
      <w:r w:rsidRPr="00113E09">
        <w:rPr>
          <w:color w:val="auto"/>
        </w:rPr>
        <w:t xml:space="preserve"> at Bountiful monitoring </w:t>
      </w:r>
      <w:r w:rsidR="00650834" w:rsidRPr="00113E09">
        <w:rPr>
          <w:color w:val="auto"/>
        </w:rPr>
        <w:t>S</w:t>
      </w:r>
      <w:r w:rsidRPr="00113E09">
        <w:rPr>
          <w:color w:val="auto"/>
        </w:rPr>
        <w:t>tation on February 12, 2016</w:t>
      </w:r>
      <w:bookmarkEnd w:id="80"/>
    </w:p>
    <w:p w14:paraId="2D7EF80E" w14:textId="77777777" w:rsidR="00FD4914" w:rsidRDefault="00FD4914" w:rsidP="006C4ED4">
      <w:pPr>
        <w:rPr>
          <w:color w:val="4F81BD" w:themeColor="accent1"/>
          <w:lang w:val="en"/>
        </w:rPr>
      </w:pPr>
    </w:p>
    <w:p w14:paraId="3BDE3F18" w14:textId="4DB280EA" w:rsidR="006C4ED4" w:rsidRPr="00113E09" w:rsidRDefault="006C4ED4" w:rsidP="006C4ED4">
      <w:pPr>
        <w:rPr>
          <w:lang w:val="en"/>
        </w:rPr>
      </w:pPr>
      <w:r w:rsidRPr="00113E09">
        <w:rPr>
          <w:lang w:val="en"/>
        </w:rPr>
        <w:lastRenderedPageBreak/>
        <w:t>Given that the model is not able to sustain the observed PM</w:t>
      </w:r>
      <w:r w:rsidRPr="00113E09">
        <w:rPr>
          <w:vertAlign w:val="subscript"/>
          <w:lang w:val="en"/>
        </w:rPr>
        <w:t>2.5</w:t>
      </w:r>
      <w:r w:rsidRPr="00113E09">
        <w:rPr>
          <w:lang w:val="en"/>
        </w:rPr>
        <w:t xml:space="preserve"> peaks, this episode is less suitable for modeling compared to the 2011 episode.</w:t>
      </w:r>
    </w:p>
    <w:p w14:paraId="31B500B2" w14:textId="6DBC8CA2" w:rsidR="002B5798" w:rsidRPr="00113E09" w:rsidRDefault="002B5798" w:rsidP="002B5798">
      <w:pPr>
        <w:rPr>
          <w:b/>
          <w:lang w:val="en"/>
        </w:rPr>
      </w:pPr>
      <w:bookmarkStart w:id="81" w:name="_Toc522890989"/>
      <w:r w:rsidRPr="00113E09">
        <w:rPr>
          <w:b/>
          <w:lang w:val="en"/>
        </w:rPr>
        <w:t>Conclusion</w:t>
      </w:r>
      <w:bookmarkEnd w:id="81"/>
    </w:p>
    <w:p w14:paraId="1B2990F8" w14:textId="430B2B63" w:rsidR="00800ECE" w:rsidRPr="00113E09" w:rsidRDefault="00800ECE" w:rsidP="00800ECE">
      <w:pPr>
        <w:rPr>
          <w:lang w:val="en"/>
        </w:rPr>
      </w:pPr>
      <w:r w:rsidRPr="00113E09">
        <w:rPr>
          <w:lang w:val="en"/>
        </w:rPr>
        <w:t>Examining the PM</w:t>
      </w:r>
      <w:r w:rsidRPr="00113E09">
        <w:rPr>
          <w:vertAlign w:val="subscript"/>
          <w:lang w:val="en"/>
        </w:rPr>
        <w:t>2.5</w:t>
      </w:r>
      <w:r w:rsidRPr="00113E09">
        <w:rPr>
          <w:lang w:val="en"/>
        </w:rPr>
        <w:t xml:space="preserve"> model performance for all three episodes, </w:t>
      </w:r>
      <w:r w:rsidR="00945531" w:rsidRPr="00113E09">
        <w:rPr>
          <w:lang w:val="en"/>
        </w:rPr>
        <w:t xml:space="preserve">it is </w:t>
      </w:r>
      <w:r w:rsidRPr="00113E09">
        <w:rPr>
          <w:lang w:val="en"/>
        </w:rPr>
        <w:t>clear that CAMx performed best when using the January 2011 WRF output, which was specifically calibrated to the meteorological conditions experienced during January 2011</w:t>
      </w:r>
      <w:r w:rsidR="000A01A6" w:rsidRPr="00113E09">
        <w:rPr>
          <w:lang w:val="en"/>
        </w:rPr>
        <w:t>,</w:t>
      </w:r>
      <w:r w:rsidRPr="00113E09">
        <w:rPr>
          <w:lang w:val="en"/>
        </w:rPr>
        <w:t xml:space="preserve"> a period that coincided with an exhaustive field campaign focused on the Salt Lake Valley (Persistent Cold Air Pool Study</w:t>
      </w:r>
      <w:r w:rsidR="00EB7A52" w:rsidRPr="00113E09">
        <w:rPr>
          <w:lang w:val="en"/>
        </w:rPr>
        <w:t xml:space="preserve"> (PCAPS)</w:t>
      </w:r>
      <w:r w:rsidRPr="00113E09">
        <w:rPr>
          <w:vertAlign w:val="superscript"/>
          <w:lang w:val="en"/>
        </w:rPr>
        <w:footnoteReference w:id="27"/>
      </w:r>
      <w:r w:rsidRPr="00113E09">
        <w:rPr>
          <w:lang w:val="en"/>
        </w:rPr>
        <w:t>. The superior model performance for the January 2011 episode</w:t>
      </w:r>
      <w:r w:rsidRPr="00113E09" w:rsidDel="009328F2">
        <w:rPr>
          <w:lang w:val="en"/>
        </w:rPr>
        <w:t xml:space="preserve"> </w:t>
      </w:r>
      <w:r w:rsidRPr="00113E09">
        <w:rPr>
          <w:lang w:val="en"/>
        </w:rPr>
        <w:t>was further confirmed by a linear regression analysis that showed that modeled and measured PM</w:t>
      </w:r>
      <w:r w:rsidRPr="00113E09">
        <w:rPr>
          <w:vertAlign w:val="subscript"/>
          <w:lang w:val="en"/>
        </w:rPr>
        <w:t>2.5</w:t>
      </w:r>
      <w:r w:rsidRPr="00113E09">
        <w:rPr>
          <w:lang w:val="en"/>
        </w:rPr>
        <w:t xml:space="preserve"> at Hawthorne monitoring station were more strongly correlated during the January 2011 episode (R</w:t>
      </w:r>
      <w:r w:rsidRPr="00113E09">
        <w:rPr>
          <w:vertAlign w:val="superscript"/>
          <w:lang w:val="en"/>
        </w:rPr>
        <w:t>2</w:t>
      </w:r>
      <w:r w:rsidRPr="00113E09">
        <w:rPr>
          <w:lang w:val="en"/>
        </w:rPr>
        <w:t xml:space="preserve"> = 0.80) compared to the other episodes (R</w:t>
      </w:r>
      <w:r w:rsidRPr="00113E09">
        <w:rPr>
          <w:vertAlign w:val="superscript"/>
          <w:lang w:val="en"/>
        </w:rPr>
        <w:t>2</w:t>
      </w:r>
      <w:r w:rsidRPr="00113E09">
        <w:rPr>
          <w:lang w:val="en"/>
        </w:rPr>
        <w:t xml:space="preserve"> = 0.54 and 0.69) (Figure</w:t>
      </w:r>
      <w:r w:rsidR="00F512C5" w:rsidRPr="00113E09">
        <w:rPr>
          <w:lang w:val="en"/>
        </w:rPr>
        <w:t xml:space="preserve"> IX.A.36.1</w:t>
      </w:r>
      <w:r w:rsidR="00BE2EEC" w:rsidRPr="00113E09">
        <w:rPr>
          <w:lang w:val="en"/>
        </w:rPr>
        <w:t>1</w:t>
      </w:r>
      <w:r w:rsidRPr="00113E09">
        <w:rPr>
          <w:lang w:val="en"/>
        </w:rPr>
        <w:t xml:space="preserve">). </w:t>
      </w:r>
    </w:p>
    <w:p w14:paraId="24AB354A" w14:textId="06003A4C" w:rsidR="00800ECE" w:rsidRPr="00113E09" w:rsidRDefault="00800ECE" w:rsidP="00800ECE">
      <w:r w:rsidRPr="00113E09">
        <w:rPr>
          <w:lang w:val="en"/>
        </w:rPr>
        <w:t>Given that the January 2011 WRF data produced superior model performance when compared with the other two episodes, UDAQ selected the January 2011 episode to conduct its modeled maintenance demonstration work. A more thorough discussion is provided in the TSD.</w:t>
      </w:r>
    </w:p>
    <w:p w14:paraId="57281E64" w14:textId="77777777" w:rsidR="00800ECE" w:rsidRPr="00E84C95" w:rsidRDefault="00800ECE" w:rsidP="00800ECE">
      <w:pPr>
        <w:rPr>
          <w:highlight w:val="green"/>
          <w:lang w:val="en"/>
        </w:rPr>
      </w:pPr>
    </w:p>
    <w:p w14:paraId="7055096E" w14:textId="77777777" w:rsidR="00A85682" w:rsidRDefault="00800ECE" w:rsidP="00A85682">
      <w:pPr>
        <w:keepNext/>
      </w:pPr>
      <w:r>
        <w:rPr>
          <w:noProof/>
        </w:rPr>
        <w:lastRenderedPageBreak/>
        <w:drawing>
          <wp:inline distT="0" distB="0" distL="0" distR="0" wp14:anchorId="4560E7E6" wp14:editId="7E115740">
            <wp:extent cx="2926080" cy="2926080"/>
            <wp:effectExtent l="0" t="0" r="7620" b="7620"/>
            <wp:docPr id="29" name="Chart 29">
              <a:extLst xmlns:a="http://schemas.openxmlformats.org/drawingml/2006/main">
                <a:ext uri="{FF2B5EF4-FFF2-40B4-BE49-F238E27FC236}">
                  <a16:creationId xmlns:a16="http://schemas.microsoft.com/office/drawing/2014/main" id="{3893D04B-67C4-457A-95F0-73331DCEDB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9328F2">
        <w:rPr>
          <w:noProof/>
        </w:rPr>
        <w:t xml:space="preserve"> </w:t>
      </w:r>
      <w:r>
        <w:rPr>
          <w:noProof/>
        </w:rPr>
        <w:drawing>
          <wp:inline distT="0" distB="0" distL="0" distR="0" wp14:anchorId="5FC46B69" wp14:editId="1B80E58B">
            <wp:extent cx="2926080" cy="2926080"/>
            <wp:effectExtent l="0" t="0" r="7620" b="7620"/>
            <wp:docPr id="30" name="Chart 30">
              <a:extLst xmlns:a="http://schemas.openxmlformats.org/drawingml/2006/main">
                <a:ext uri="{FF2B5EF4-FFF2-40B4-BE49-F238E27FC236}">
                  <a16:creationId xmlns:a16="http://schemas.microsoft.com/office/drawing/2014/main" id="{B8A18ED6-241D-48AD-BC6F-1B168B7DC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E84C95" w:rsidDel="009328F2">
        <w:rPr>
          <w:noProof/>
          <w:highlight w:val="green"/>
        </w:rPr>
        <w:t xml:space="preserve"> </w:t>
      </w:r>
      <w:r w:rsidRPr="009328F2">
        <w:rPr>
          <w:noProof/>
        </w:rPr>
        <w:t xml:space="preserve"> </w:t>
      </w:r>
      <w:r>
        <w:rPr>
          <w:noProof/>
        </w:rPr>
        <w:drawing>
          <wp:inline distT="0" distB="0" distL="0" distR="0" wp14:anchorId="3F48126C" wp14:editId="2D338923">
            <wp:extent cx="2926080" cy="2926080"/>
            <wp:effectExtent l="0" t="0" r="7620" b="7620"/>
            <wp:docPr id="31" name="Chart 31">
              <a:extLst xmlns:a="http://schemas.openxmlformats.org/drawingml/2006/main">
                <a:ext uri="{FF2B5EF4-FFF2-40B4-BE49-F238E27FC236}">
                  <a16:creationId xmlns:a16="http://schemas.microsoft.com/office/drawing/2014/main" id="{44A57D9F-261A-4693-8653-6322811DCF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922B93F" w14:textId="66AB7BDD" w:rsidR="00800ECE" w:rsidRPr="00113E09" w:rsidRDefault="00A85682" w:rsidP="00A85682">
      <w:pPr>
        <w:pStyle w:val="Caption"/>
        <w:rPr>
          <w:color w:val="auto"/>
          <w:highlight w:val="green"/>
          <w:lang w:val="en"/>
        </w:rPr>
      </w:pPr>
      <w:bookmarkStart w:id="82" w:name="_Toc17269013"/>
      <w:r w:rsidRPr="00113E09">
        <w:rPr>
          <w:color w:val="auto"/>
        </w:rPr>
        <w:t xml:space="preserve">Figure IX.A.36. </w:t>
      </w:r>
      <w:r w:rsidR="00767843" w:rsidRPr="00113E09">
        <w:rPr>
          <w:color w:val="auto"/>
        </w:rPr>
        <w:fldChar w:fldCharType="begin"/>
      </w:r>
      <w:r w:rsidR="00767843" w:rsidRPr="00113E09">
        <w:rPr>
          <w:color w:val="auto"/>
        </w:rPr>
        <w:instrText xml:space="preserve"> SEQ Figure_IX.A.36. \* ARABIC </w:instrText>
      </w:r>
      <w:r w:rsidR="00767843" w:rsidRPr="00113E09">
        <w:rPr>
          <w:color w:val="auto"/>
        </w:rPr>
        <w:fldChar w:fldCharType="separate"/>
      </w:r>
      <w:r w:rsidR="00767843">
        <w:rPr>
          <w:noProof/>
          <w:color w:val="auto"/>
        </w:rPr>
        <w:t>11</w:t>
      </w:r>
      <w:r w:rsidR="00767843" w:rsidRPr="00113E09">
        <w:rPr>
          <w:noProof/>
          <w:color w:val="auto"/>
        </w:rPr>
        <w:fldChar w:fldCharType="end"/>
      </w:r>
      <w:r w:rsidRPr="00113E09">
        <w:rPr>
          <w:color w:val="auto"/>
        </w:rPr>
        <w:t xml:space="preserve"> Modeled versus measured 24-hr PM</w:t>
      </w:r>
      <w:r w:rsidRPr="00113E09">
        <w:rPr>
          <w:color w:val="auto"/>
          <w:vertAlign w:val="subscript"/>
        </w:rPr>
        <w:t>2.5</w:t>
      </w:r>
      <w:r w:rsidRPr="00113E09">
        <w:rPr>
          <w:color w:val="auto"/>
        </w:rPr>
        <w:t xml:space="preserve"> at Hawthorne monitoring station for each of the three modeling episodes: January 2011, December 2013</w:t>
      </w:r>
      <w:r w:rsidR="003E4B3B" w:rsidRPr="00113E09">
        <w:rPr>
          <w:color w:val="auto"/>
        </w:rPr>
        <w:t>,</w:t>
      </w:r>
      <w:r w:rsidRPr="00113E09">
        <w:rPr>
          <w:color w:val="auto"/>
        </w:rPr>
        <w:t xml:space="preserve"> and February 2016. Dots represent each individual day of the modeling episode. Linear regression fits (dashed line) and equation are shown for each episode.</w:t>
      </w:r>
      <w:bookmarkEnd w:id="82"/>
    </w:p>
    <w:p w14:paraId="67C84C48" w14:textId="69FA1041" w:rsidR="002B5798" w:rsidRPr="00B337F6" w:rsidRDefault="002B5798" w:rsidP="00053372">
      <w:pPr>
        <w:pStyle w:val="Heading3"/>
        <w:rPr>
          <w:lang w:val="en"/>
        </w:rPr>
      </w:pPr>
      <w:bookmarkStart w:id="83" w:name="_Toc522890990"/>
      <w:bookmarkStart w:id="84" w:name="_Toc17268976"/>
      <w:r w:rsidRPr="00B337F6">
        <w:rPr>
          <w:lang w:val="en"/>
        </w:rPr>
        <w:t>Photochemical Model Performance Evaluation</w:t>
      </w:r>
      <w:bookmarkEnd w:id="83"/>
      <w:bookmarkEnd w:id="84"/>
      <w:r w:rsidRPr="00B337F6">
        <w:rPr>
          <w:lang w:val="en"/>
        </w:rPr>
        <w:t xml:space="preserve"> </w:t>
      </w:r>
    </w:p>
    <w:p w14:paraId="0A234F36" w14:textId="29ACC2C0" w:rsidR="002B5798" w:rsidRPr="00B337F6" w:rsidRDefault="002B5798" w:rsidP="002B5798">
      <w:pPr>
        <w:rPr>
          <w:i/>
          <w:lang w:val="en"/>
        </w:rPr>
      </w:pPr>
      <w:r w:rsidRPr="00B337F6">
        <w:rPr>
          <w:i/>
          <w:lang w:val="en"/>
        </w:rPr>
        <w:t>Introduction</w:t>
      </w:r>
    </w:p>
    <w:p w14:paraId="0185DE4E" w14:textId="0D0369C2" w:rsidR="009B724C" w:rsidRPr="00C32A8D" w:rsidRDefault="009B724C" w:rsidP="009B724C">
      <w:pPr>
        <w:rPr>
          <w:lang w:val="en"/>
        </w:rPr>
      </w:pPr>
      <w:r w:rsidRPr="00C32A8D">
        <w:rPr>
          <w:lang w:val="en"/>
        </w:rPr>
        <w:t xml:space="preserve">To assess how accurately the photochemical model predicts observed concentrations and to demonstrate that the model can reliably predict the change in pollution levels in response to changes in emissions, a model performance evaluation was conducted. This model performance evaluation also provides support </w:t>
      </w:r>
      <w:r w:rsidRPr="00C32A8D">
        <w:rPr>
          <w:lang w:val="en"/>
        </w:rPr>
        <w:lastRenderedPageBreak/>
        <w:t xml:space="preserve">for the model modifications </w:t>
      </w:r>
      <w:r w:rsidR="00F64D81">
        <w:rPr>
          <w:lang w:val="en"/>
        </w:rPr>
        <w:t xml:space="preserve">and settings </w:t>
      </w:r>
      <w:r w:rsidRPr="00C32A8D">
        <w:rPr>
          <w:lang w:val="en"/>
        </w:rPr>
        <w:t xml:space="preserve">that were </w:t>
      </w:r>
      <w:r w:rsidR="00F64D81">
        <w:rPr>
          <w:lang w:val="en"/>
        </w:rPr>
        <w:t>applied</w:t>
      </w:r>
      <w:r w:rsidRPr="00C32A8D">
        <w:rPr>
          <w:lang w:val="en"/>
        </w:rPr>
        <w:t xml:space="preserve"> </w:t>
      </w:r>
      <w:r w:rsidRPr="00C32A8D">
        <w:t xml:space="preserve">(ammonia injection, increase of surface resistance to ammonia, zeroing-out of ozone deposition velocity, reduction of cloud-water content, snow albedo enhancement, vertical diffusion modifications and paved road dust emissions adjustment) </w:t>
      </w:r>
      <w:r w:rsidRPr="00C32A8D">
        <w:rPr>
          <w:lang w:val="en"/>
        </w:rPr>
        <w:t>to more accurately reproduce winter-time inversion episodes. A detailed explanation of these model modifications is provided in the TSD.</w:t>
      </w:r>
    </w:p>
    <w:p w14:paraId="07590D94" w14:textId="2FA9C69A" w:rsidR="009B724C" w:rsidRPr="00113E09" w:rsidRDefault="009B724C" w:rsidP="009B724C">
      <w:pPr>
        <w:rPr>
          <w:lang w:val="en"/>
        </w:rPr>
      </w:pPr>
      <w:r w:rsidRPr="005303E7">
        <w:t xml:space="preserve">Available ambient monitoring data were used for this photochemical model performance evaluation. Data included 24-hr total </w:t>
      </w:r>
      <w:r w:rsidRPr="00321AD9">
        <w:rPr>
          <w:lang w:val="en"/>
        </w:rPr>
        <w:t>PM</w:t>
      </w:r>
      <w:r w:rsidRPr="00321AD9">
        <w:rPr>
          <w:vertAlign w:val="subscript"/>
          <w:lang w:val="en"/>
        </w:rPr>
        <w:t>2.5</w:t>
      </w:r>
      <w:r w:rsidRPr="005303E7">
        <w:t xml:space="preserve"> and 24-hr chemically-speciated </w:t>
      </w:r>
      <w:r w:rsidRPr="00321AD9">
        <w:rPr>
          <w:lang w:val="en"/>
        </w:rPr>
        <w:t>PM</w:t>
      </w:r>
      <w:r w:rsidRPr="00321AD9">
        <w:rPr>
          <w:vertAlign w:val="subscript"/>
          <w:lang w:val="en"/>
        </w:rPr>
        <w:t>2.5</w:t>
      </w:r>
      <w:r w:rsidRPr="005303E7">
        <w:t xml:space="preserve"> measurements collected at</w:t>
      </w:r>
      <w:r>
        <w:t xml:space="preserve"> the</w:t>
      </w:r>
      <w:r w:rsidR="004A3F7D">
        <w:t xml:space="preserve"> </w:t>
      </w:r>
      <w:r w:rsidR="004A3F7D" w:rsidRPr="00113E09">
        <w:t>Hawthorne</w:t>
      </w:r>
      <w:r w:rsidRPr="00113E09">
        <w:t xml:space="preserve"> monitoring station in the SLC NAA</w:t>
      </w:r>
      <w:r w:rsidR="002B5798" w:rsidRPr="00113E09">
        <w:rPr>
          <w:rFonts w:cs="Times New Roman"/>
        </w:rPr>
        <w:t>. Ammonia measurements collected during special field studies were also used for this performance evaluation.</w:t>
      </w:r>
      <w:r w:rsidR="00F64D81" w:rsidRPr="00113E09">
        <w:rPr>
          <w:rFonts w:cs="Times New Roman"/>
        </w:rPr>
        <w:t xml:space="preserve"> </w:t>
      </w:r>
      <w:r w:rsidRPr="00113E09">
        <w:t>The evaluation was based on the December 31-January 10, 2011</w:t>
      </w:r>
      <w:r w:rsidR="003E4B3B" w:rsidRPr="00113E09">
        <w:t>,</w:t>
      </w:r>
      <w:r w:rsidRPr="00113E09">
        <w:t xml:space="preserve"> episode and the 2011 emissions inventory was used as input data for the model simulations. The evaluation focused on days with </w:t>
      </w:r>
      <w:r w:rsidRPr="00113E09">
        <w:rPr>
          <w:lang w:val="en"/>
        </w:rPr>
        <w:t>PM</w:t>
      </w:r>
      <w:r w:rsidRPr="00113E09">
        <w:rPr>
          <w:vertAlign w:val="subscript"/>
          <w:lang w:val="en"/>
        </w:rPr>
        <w:t>2.5</w:t>
      </w:r>
      <w:r w:rsidRPr="00113E09">
        <w:t xml:space="preserve"> concentration exceeding the NAAQS (&gt; 35 µg/m</w:t>
      </w:r>
      <w:r w:rsidRPr="00113E09">
        <w:rPr>
          <w:vertAlign w:val="superscript"/>
        </w:rPr>
        <w:t>3</w:t>
      </w:r>
      <w:r w:rsidRPr="00113E09">
        <w:t xml:space="preserve">). Results for December 31, which is a model spin-up day, are excluded from this evaluation. </w:t>
      </w:r>
    </w:p>
    <w:p w14:paraId="3F11B266" w14:textId="300F4121" w:rsidR="007A21EB" w:rsidRPr="00113E09" w:rsidRDefault="007A21EB" w:rsidP="007A21EB">
      <w:pPr>
        <w:rPr>
          <w:rFonts w:cs="Times New Roman"/>
          <w:lang w:val="en"/>
        </w:rPr>
      </w:pPr>
      <w:bookmarkStart w:id="85" w:name="_lnxbz9" w:colFirst="0" w:colLast="0"/>
      <w:bookmarkEnd w:id="85"/>
      <w:r w:rsidRPr="00113E09">
        <w:rPr>
          <w:rFonts w:cs="Times New Roman"/>
          <w:lang w:val="en"/>
        </w:rPr>
        <w:t xml:space="preserve">A more detailed model performance evaluation that examines the model performance for gaseous species is provided in the TSD. More details on the model performance at various sites within the SLC NAA are also included in the TSD. </w:t>
      </w:r>
    </w:p>
    <w:p w14:paraId="3EC5EEDD" w14:textId="77777777" w:rsidR="002B5798" w:rsidRPr="00113E09" w:rsidRDefault="002B5798" w:rsidP="002B5798">
      <w:pPr>
        <w:rPr>
          <w:i/>
          <w:lang w:val="en"/>
        </w:rPr>
      </w:pPr>
      <w:r w:rsidRPr="00113E09">
        <w:rPr>
          <w:i/>
          <w:lang w:val="en"/>
        </w:rPr>
        <w:t>Daily PM</w:t>
      </w:r>
      <w:r w:rsidRPr="00113E09">
        <w:rPr>
          <w:i/>
          <w:vertAlign w:val="subscript"/>
          <w:lang w:val="en"/>
        </w:rPr>
        <w:t>2.5</w:t>
      </w:r>
      <w:r w:rsidRPr="00113E09">
        <w:rPr>
          <w:i/>
          <w:lang w:val="en"/>
        </w:rPr>
        <w:t xml:space="preserve"> Concentrations</w:t>
      </w:r>
    </w:p>
    <w:p w14:paraId="4A6965F5" w14:textId="1F34CF6C" w:rsidR="002B5798" w:rsidRPr="00113E09" w:rsidRDefault="002B5798" w:rsidP="00434CAB">
      <w:pPr>
        <w:rPr>
          <w:lang w:val="en"/>
        </w:rPr>
      </w:pPr>
      <w:r w:rsidRPr="00113E09">
        <w:rPr>
          <w:lang w:val="en"/>
        </w:rPr>
        <w:t>A comparison of</w:t>
      </w:r>
      <w:r w:rsidRPr="00113E09">
        <w:rPr>
          <w:b/>
          <w:lang w:val="en"/>
        </w:rPr>
        <w:t xml:space="preserve"> </w:t>
      </w:r>
      <w:r w:rsidRPr="00113E09">
        <w:rPr>
          <w:lang w:val="en"/>
        </w:rPr>
        <w:t>24-hr modeled and observed PM</w:t>
      </w:r>
      <w:r w:rsidRPr="00113E09">
        <w:rPr>
          <w:vertAlign w:val="subscript"/>
          <w:lang w:val="en"/>
        </w:rPr>
        <w:t>2.5</w:t>
      </w:r>
      <w:r w:rsidRPr="00113E09">
        <w:rPr>
          <w:lang w:val="en"/>
        </w:rPr>
        <w:t xml:space="preserve"> during January 1-10, 2011</w:t>
      </w:r>
      <w:r w:rsidR="003E4B3B" w:rsidRPr="00113E09">
        <w:rPr>
          <w:lang w:val="en"/>
        </w:rPr>
        <w:t>,</w:t>
      </w:r>
      <w:r w:rsidRPr="00113E09">
        <w:rPr>
          <w:lang w:val="en"/>
        </w:rPr>
        <w:t xml:space="preserve"> at the Hawthorne monitoring station in the SLC NAA showed that </w:t>
      </w:r>
      <w:r w:rsidRPr="00113E09">
        <w:t>the model overall captures</w:t>
      </w:r>
      <w:r w:rsidR="006E130E" w:rsidRPr="00113E09">
        <w:t xml:space="preserve"> </w:t>
      </w:r>
      <w:r w:rsidRPr="00113E09">
        <w:t>the temporal variation in PM</w:t>
      </w:r>
      <w:r w:rsidR="007E7565" w:rsidRPr="00113E09">
        <w:rPr>
          <w:vertAlign w:val="subscript"/>
        </w:rPr>
        <w:t>2.5</w:t>
      </w:r>
      <w:r w:rsidR="006E130E" w:rsidRPr="00113E09">
        <w:t xml:space="preserve"> well</w:t>
      </w:r>
      <w:r w:rsidRPr="00113E09">
        <w:t xml:space="preserve"> (Figure</w:t>
      </w:r>
      <w:r w:rsidR="00434CAB" w:rsidRPr="00113E09">
        <w:t xml:space="preserve"> IX.A.36.1</w:t>
      </w:r>
      <w:r w:rsidR="00BE2EEC" w:rsidRPr="00113E09">
        <w:t>2</w:t>
      </w:r>
      <w:r w:rsidRPr="00113E09">
        <w:t xml:space="preserve">). The gradual increase in </w:t>
      </w:r>
      <w:r w:rsidR="00434CAB" w:rsidRPr="00113E09">
        <w:rPr>
          <w:lang w:val="en"/>
        </w:rPr>
        <w:t>PM</w:t>
      </w:r>
      <w:r w:rsidR="00434CAB" w:rsidRPr="00113E09">
        <w:rPr>
          <w:vertAlign w:val="subscript"/>
          <w:lang w:val="en"/>
        </w:rPr>
        <w:t>2.5</w:t>
      </w:r>
      <w:r w:rsidRPr="00113E09">
        <w:t xml:space="preserve"> concentration and its transition back to low levels are generally well reproduced by the model. Moreover, with the exception of January 3 and 5, the bias between measured and modeled PM</w:t>
      </w:r>
      <w:r w:rsidR="007E7565" w:rsidRPr="00113E09">
        <w:rPr>
          <w:vertAlign w:val="subscript"/>
        </w:rPr>
        <w:t>2.5</w:t>
      </w:r>
      <w:r w:rsidRPr="00113E09">
        <w:t xml:space="preserve"> is overall relatively small, particularly on PM</w:t>
      </w:r>
      <w:r w:rsidR="007E7565" w:rsidRPr="00113E09">
        <w:rPr>
          <w:vertAlign w:val="subscript"/>
        </w:rPr>
        <w:t>2.5</w:t>
      </w:r>
      <w:r w:rsidRPr="00113E09">
        <w:t xml:space="preserve"> exceedance days.</w:t>
      </w:r>
      <w:r w:rsidRPr="00113E09">
        <w:rPr>
          <w:lang w:val="en"/>
        </w:rPr>
        <w:t xml:space="preserve"> The biases observed on January 3 and 5 are largely </w:t>
      </w:r>
      <w:r w:rsidRPr="00113E09">
        <w:t xml:space="preserve">related to the meteorological model performance on these days, as aforementioned.  </w:t>
      </w:r>
    </w:p>
    <w:p w14:paraId="01F1CE24" w14:textId="77777777" w:rsidR="00A85682" w:rsidRDefault="002B5798" w:rsidP="00A85682">
      <w:pPr>
        <w:keepNext/>
      </w:pPr>
      <w:r w:rsidRPr="00145784">
        <w:rPr>
          <w:rFonts w:eastAsia="Times New Roman" w:cs="Times New Roman"/>
          <w:noProof/>
          <w:sz w:val="24"/>
          <w:szCs w:val="24"/>
        </w:rPr>
        <w:drawing>
          <wp:inline distT="0" distB="0" distL="0" distR="0" wp14:anchorId="089B2691" wp14:editId="4323351C">
            <wp:extent cx="4114800" cy="1534602"/>
            <wp:effectExtent l="0" t="0" r="0" b="8890"/>
            <wp:docPr id="25" name="Picture 25" descr="https://lh4.googleusercontent.com/Ubrxpa-9l_C2hw89TgYMJEFbMlF_1c7bdLNzFB41gdJQy0B680oyTdd3k7oTieH1DKAI5wcmM-hXOXf4BzKbnAFsthdetQ_WcRGjvinThlukqeaAK5leAX-b4QzMmO4_9atKTXAXTh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Ubrxpa-9l_C2hw89TgYMJEFbMlF_1c7bdLNzFB41gdJQy0B680oyTdd3k7oTieH1DKAI5wcmM-hXOXf4BzKbnAFsthdetQ_WcRGjvinThlukqeaAK5leAX-b4QzMmO4_9atKTXAXTh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14800" cy="1534602"/>
                    </a:xfrm>
                    <a:prstGeom prst="rect">
                      <a:avLst/>
                    </a:prstGeom>
                    <a:noFill/>
                    <a:ln>
                      <a:noFill/>
                    </a:ln>
                  </pic:spPr>
                </pic:pic>
              </a:graphicData>
            </a:graphic>
          </wp:inline>
        </w:drawing>
      </w:r>
    </w:p>
    <w:p w14:paraId="53C1D44D" w14:textId="514E5629" w:rsidR="00615328" w:rsidRPr="00113E09" w:rsidRDefault="00A85682" w:rsidP="00A85682">
      <w:pPr>
        <w:pStyle w:val="Caption"/>
        <w:rPr>
          <w:color w:val="auto"/>
          <w:vertAlign w:val="subscript"/>
        </w:rPr>
      </w:pPr>
      <w:bookmarkStart w:id="86" w:name="_Toc17269014"/>
      <w:r w:rsidRPr="00113E09">
        <w:rPr>
          <w:color w:val="auto"/>
        </w:rPr>
        <w:t xml:space="preserve">Figure IX.A.36. </w:t>
      </w:r>
      <w:r w:rsidR="00767843" w:rsidRPr="00113E09">
        <w:rPr>
          <w:color w:val="auto"/>
        </w:rPr>
        <w:fldChar w:fldCharType="begin"/>
      </w:r>
      <w:r w:rsidR="00767843" w:rsidRPr="00113E09">
        <w:rPr>
          <w:color w:val="auto"/>
        </w:rPr>
        <w:instrText xml:space="preserve"> SEQ Figure_IX.A.36. \* ARABIC </w:instrText>
      </w:r>
      <w:r w:rsidR="00767843" w:rsidRPr="00113E09">
        <w:rPr>
          <w:color w:val="auto"/>
        </w:rPr>
        <w:fldChar w:fldCharType="separate"/>
      </w:r>
      <w:r w:rsidR="00767843">
        <w:rPr>
          <w:noProof/>
          <w:color w:val="auto"/>
        </w:rPr>
        <w:t>12</w:t>
      </w:r>
      <w:r w:rsidR="00767843" w:rsidRPr="00113E09">
        <w:rPr>
          <w:noProof/>
          <w:color w:val="auto"/>
        </w:rPr>
        <w:fldChar w:fldCharType="end"/>
      </w:r>
      <w:r w:rsidRPr="00113E09">
        <w:rPr>
          <w:color w:val="auto"/>
        </w:rPr>
        <w:t xml:space="preserve"> Ten-day Time Series of Observed (black) and Modeled (red) 24-hr Average PM</w:t>
      </w:r>
      <w:r w:rsidR="00EB151F" w:rsidRPr="00113E09">
        <w:rPr>
          <w:color w:val="auto"/>
          <w:vertAlign w:val="subscript"/>
        </w:rPr>
        <w:t>2.5</w:t>
      </w:r>
      <w:r w:rsidRPr="00113E09">
        <w:rPr>
          <w:color w:val="auto"/>
        </w:rPr>
        <w:t xml:space="preserve"> Concentrations During January 1-10, 2011</w:t>
      </w:r>
      <w:r w:rsidR="003E4B3B" w:rsidRPr="00113E09">
        <w:rPr>
          <w:color w:val="auto"/>
        </w:rPr>
        <w:t>,</w:t>
      </w:r>
      <w:r w:rsidRPr="00113E09">
        <w:rPr>
          <w:color w:val="auto"/>
        </w:rPr>
        <w:t xml:space="preserve"> at Hawthorne Monitoring Station in the SLC NAA. Dashed Red Line is NAAQS</w:t>
      </w:r>
      <w:r w:rsidR="00EB3834" w:rsidRPr="00113E09">
        <w:rPr>
          <w:color w:val="auto"/>
        </w:rPr>
        <w:t xml:space="preserve"> for 24-hr PM</w:t>
      </w:r>
      <w:r w:rsidR="00EB3834" w:rsidRPr="00113E09">
        <w:rPr>
          <w:color w:val="auto"/>
          <w:vertAlign w:val="subscript"/>
        </w:rPr>
        <w:t>2.5</w:t>
      </w:r>
      <w:bookmarkEnd w:id="86"/>
    </w:p>
    <w:p w14:paraId="5C7A163C" w14:textId="77777777" w:rsidR="00FF668D" w:rsidRPr="00A85682" w:rsidRDefault="00FF668D" w:rsidP="00FF668D">
      <w:pPr>
        <w:pStyle w:val="Caption"/>
        <w:rPr>
          <w:b w:val="0"/>
          <w:color w:val="FF0000"/>
          <w:lang w:val="en"/>
        </w:rPr>
      </w:pPr>
    </w:p>
    <w:p w14:paraId="5D8AEB35" w14:textId="77777777" w:rsidR="00945531" w:rsidRDefault="00945531" w:rsidP="00DC660D">
      <w:pPr>
        <w:rPr>
          <w:i/>
        </w:rPr>
      </w:pPr>
    </w:p>
    <w:p w14:paraId="05273C21" w14:textId="34CDFDB5" w:rsidR="002B5798" w:rsidRPr="00DC660D" w:rsidRDefault="002B5798" w:rsidP="00DC660D">
      <w:pPr>
        <w:rPr>
          <w:i/>
        </w:rPr>
      </w:pPr>
      <w:r w:rsidRPr="00DC660D">
        <w:rPr>
          <w:i/>
        </w:rPr>
        <w:t>PM</w:t>
      </w:r>
      <w:r w:rsidRPr="00DC660D">
        <w:rPr>
          <w:i/>
          <w:vertAlign w:val="subscript"/>
        </w:rPr>
        <w:t xml:space="preserve">2.5 </w:t>
      </w:r>
      <w:r w:rsidRPr="00DC660D">
        <w:rPr>
          <w:i/>
        </w:rPr>
        <w:t>Chemical Speciation</w:t>
      </w:r>
    </w:p>
    <w:p w14:paraId="4D3A63AD" w14:textId="43F0BBE2" w:rsidR="002B5798" w:rsidRPr="00113E09" w:rsidRDefault="002B5798" w:rsidP="007A2656">
      <w:pPr>
        <w:rPr>
          <w:lang w:val="en"/>
        </w:rPr>
      </w:pPr>
      <w:r w:rsidRPr="00113E09">
        <w:rPr>
          <w:lang w:val="en"/>
        </w:rPr>
        <w:lastRenderedPageBreak/>
        <w:t>To further investigate the model performance, measured and modeled PM</w:t>
      </w:r>
      <w:r w:rsidRPr="00113E09">
        <w:rPr>
          <w:vertAlign w:val="subscript"/>
          <w:lang w:val="en"/>
        </w:rPr>
        <w:t>2.5</w:t>
      </w:r>
      <w:r w:rsidRPr="00113E09">
        <w:rPr>
          <w:lang w:val="en"/>
        </w:rPr>
        <w:t xml:space="preserve"> chemical species were compared at the Hawthorne monitoring site, which is part of EPA’s Chemical Speciation Network (CSN). Figure </w:t>
      </w:r>
      <w:r w:rsidR="00A4278A" w:rsidRPr="00113E09">
        <w:rPr>
          <w:lang w:val="en"/>
        </w:rPr>
        <w:t>IX.A.36.1</w:t>
      </w:r>
      <w:r w:rsidR="00BE2EEC" w:rsidRPr="00113E09">
        <w:rPr>
          <w:lang w:val="en"/>
        </w:rPr>
        <w:t>3</w:t>
      </w:r>
      <w:r w:rsidRPr="00113E09">
        <w:rPr>
          <w:b/>
          <w:lang w:val="en"/>
        </w:rPr>
        <w:t xml:space="preserve"> </w:t>
      </w:r>
      <w:r w:rsidRPr="00113E09">
        <w:rPr>
          <w:lang w:val="en"/>
        </w:rPr>
        <w:t>shows a comparison of the bulk chemical composition of measured and modeled PM</w:t>
      </w:r>
      <w:r w:rsidRPr="00113E09">
        <w:rPr>
          <w:vertAlign w:val="subscript"/>
          <w:lang w:val="en"/>
        </w:rPr>
        <w:t>2.5</w:t>
      </w:r>
      <w:r w:rsidRPr="00113E09">
        <w:rPr>
          <w:lang w:val="en"/>
        </w:rPr>
        <w:t xml:space="preserve"> at Hawthorne on January 7, 2011, which corresponds to the only PM</w:t>
      </w:r>
      <w:r w:rsidRPr="00113E09">
        <w:rPr>
          <w:vertAlign w:val="subscript"/>
          <w:lang w:val="en"/>
        </w:rPr>
        <w:t>2.5</w:t>
      </w:r>
      <w:r w:rsidRPr="00113E09">
        <w:rPr>
          <w:lang w:val="en"/>
        </w:rPr>
        <w:t xml:space="preserve"> exceedance day when measurement data are available. Chemical species, including nitrate (NO</w:t>
      </w:r>
      <w:r w:rsidRPr="00113E09">
        <w:rPr>
          <w:vertAlign w:val="subscript"/>
          <w:lang w:val="en"/>
        </w:rPr>
        <w:t>3</w:t>
      </w:r>
      <w:r w:rsidRPr="00113E09">
        <w:rPr>
          <w:lang w:val="en"/>
        </w:rPr>
        <w:t>), sulfate (SO</w:t>
      </w:r>
      <w:r w:rsidRPr="00113E09">
        <w:rPr>
          <w:vertAlign w:val="subscript"/>
          <w:lang w:val="en"/>
        </w:rPr>
        <w:t>4</w:t>
      </w:r>
      <w:r w:rsidRPr="00113E09">
        <w:rPr>
          <w:lang w:val="en"/>
        </w:rPr>
        <w:t>), ammonium (NH</w:t>
      </w:r>
      <w:r w:rsidRPr="00113E09">
        <w:rPr>
          <w:vertAlign w:val="subscript"/>
          <w:lang w:val="en"/>
        </w:rPr>
        <w:t>4</w:t>
      </w:r>
      <w:r w:rsidRPr="00113E09">
        <w:rPr>
          <w:lang w:val="en"/>
        </w:rPr>
        <w:t>), organic carbon (OC), elemental carbon (EC), chloride (Cl), sodium (Na), crustal material (CM) and other species (other mass), were considered in this analysis. The model performance evaluation for non-</w:t>
      </w:r>
      <w:r w:rsidR="00992E56" w:rsidRPr="00113E09">
        <w:rPr>
          <w:lang w:val="en"/>
        </w:rPr>
        <w:t>PM</w:t>
      </w:r>
      <w:r w:rsidR="00992E56" w:rsidRPr="00113E09">
        <w:rPr>
          <w:vertAlign w:val="subscript"/>
          <w:lang w:val="en"/>
        </w:rPr>
        <w:t>2.5</w:t>
      </w:r>
      <w:r w:rsidRPr="00113E09">
        <w:rPr>
          <w:lang w:val="en"/>
        </w:rPr>
        <w:t xml:space="preserve"> exceedance days is provided in the TSD.</w:t>
      </w:r>
    </w:p>
    <w:p w14:paraId="540ECBB3" w14:textId="1E14B44E" w:rsidR="002B5798" w:rsidRPr="00113E09" w:rsidRDefault="002B5798" w:rsidP="007A2656">
      <w:r w:rsidRPr="00113E09">
        <w:rPr>
          <w:lang w:val="en"/>
        </w:rPr>
        <w:t>The model performance for particulate nitrate, which is the major component of PM</w:t>
      </w:r>
      <w:r w:rsidRPr="00113E09">
        <w:rPr>
          <w:vertAlign w:val="subscript"/>
          <w:lang w:val="en"/>
        </w:rPr>
        <w:t>2.5</w:t>
      </w:r>
      <w:r w:rsidRPr="00113E09">
        <w:rPr>
          <w:lang w:val="en"/>
        </w:rPr>
        <w:t>, was good, with both modeled and measured NO</w:t>
      </w:r>
      <w:r w:rsidRPr="00113E09">
        <w:rPr>
          <w:vertAlign w:val="subscript"/>
          <w:lang w:val="en"/>
        </w:rPr>
        <w:t>3</w:t>
      </w:r>
      <w:r w:rsidRPr="00113E09">
        <w:rPr>
          <w:lang w:val="en"/>
        </w:rPr>
        <w:t xml:space="preserve"> accounting for similar contributions to PM</w:t>
      </w:r>
      <w:r w:rsidRPr="00113E09">
        <w:rPr>
          <w:vertAlign w:val="subscript"/>
          <w:lang w:val="en"/>
        </w:rPr>
        <w:t>2.5</w:t>
      </w:r>
      <w:r w:rsidRPr="00113E09">
        <w:rPr>
          <w:lang w:val="en"/>
        </w:rPr>
        <w:t xml:space="preserve"> filter mass. Modeled and observed </w:t>
      </w:r>
      <w:r w:rsidR="00945531" w:rsidRPr="00113E09">
        <w:rPr>
          <w:lang w:val="en"/>
        </w:rPr>
        <w:t>NO</w:t>
      </w:r>
      <w:r w:rsidR="00945531" w:rsidRPr="00113E09">
        <w:rPr>
          <w:vertAlign w:val="subscript"/>
          <w:lang w:val="en"/>
        </w:rPr>
        <w:t>3</w:t>
      </w:r>
      <w:r w:rsidR="00945531" w:rsidRPr="00113E09">
        <w:rPr>
          <w:lang w:val="en"/>
        </w:rPr>
        <w:t xml:space="preserve"> </w:t>
      </w:r>
      <w:r w:rsidRPr="00113E09">
        <w:rPr>
          <w:lang w:val="en"/>
        </w:rPr>
        <w:t xml:space="preserve">concentrations were also comparable, with modeled concentration being biased low by about 15%. The model performance for particulate </w:t>
      </w:r>
      <w:r w:rsidR="00945531" w:rsidRPr="00113E09">
        <w:rPr>
          <w:lang w:val="en"/>
        </w:rPr>
        <w:t>SO</w:t>
      </w:r>
      <w:r w:rsidR="00945531" w:rsidRPr="00113E09">
        <w:rPr>
          <w:vertAlign w:val="subscript"/>
          <w:lang w:val="en"/>
        </w:rPr>
        <w:t>4</w:t>
      </w:r>
      <w:r w:rsidR="00945531" w:rsidRPr="00113E09">
        <w:rPr>
          <w:lang w:val="en"/>
        </w:rPr>
        <w:t xml:space="preserve"> </w:t>
      </w:r>
      <w:r w:rsidRPr="00113E09">
        <w:rPr>
          <w:lang w:val="en"/>
        </w:rPr>
        <w:t xml:space="preserve">was also reasonably good, with </w:t>
      </w:r>
      <w:r w:rsidR="00945531" w:rsidRPr="00113E09">
        <w:rPr>
          <w:lang w:val="en"/>
        </w:rPr>
        <w:t>SO</w:t>
      </w:r>
      <w:r w:rsidR="00945531" w:rsidRPr="00113E09">
        <w:rPr>
          <w:vertAlign w:val="subscript"/>
          <w:lang w:val="en"/>
        </w:rPr>
        <w:t>4</w:t>
      </w:r>
      <w:r w:rsidR="00945531" w:rsidRPr="00113E09">
        <w:rPr>
          <w:lang w:val="en"/>
        </w:rPr>
        <w:t xml:space="preserve"> </w:t>
      </w:r>
      <w:r w:rsidRPr="00113E09">
        <w:rPr>
          <w:lang w:val="en"/>
        </w:rPr>
        <w:t xml:space="preserve">being biased low in the model by about 27%. </w:t>
      </w:r>
      <w:r w:rsidR="00AF5CA9" w:rsidRPr="00113E09">
        <w:rPr>
          <w:lang w:val="en"/>
        </w:rPr>
        <w:t>Similarly,</w:t>
      </w:r>
      <w:r w:rsidRPr="00113E09">
        <w:rPr>
          <w:lang w:val="en"/>
        </w:rPr>
        <w:t xml:space="preserve"> to its performance for </w:t>
      </w:r>
      <w:r w:rsidR="00701F05" w:rsidRPr="00113E09">
        <w:rPr>
          <w:lang w:val="en"/>
        </w:rPr>
        <w:t>NO</w:t>
      </w:r>
      <w:r w:rsidR="00701F05" w:rsidRPr="00113E09">
        <w:rPr>
          <w:vertAlign w:val="subscript"/>
          <w:lang w:val="en"/>
        </w:rPr>
        <w:t>3</w:t>
      </w:r>
      <w:r w:rsidR="00701F05" w:rsidRPr="00113E09">
        <w:rPr>
          <w:lang w:val="en"/>
        </w:rPr>
        <w:t xml:space="preserve"> </w:t>
      </w:r>
      <w:r w:rsidRPr="00113E09">
        <w:rPr>
          <w:lang w:val="en"/>
        </w:rPr>
        <w:t xml:space="preserve">and </w:t>
      </w:r>
      <w:r w:rsidR="00701F05" w:rsidRPr="00113E09">
        <w:rPr>
          <w:lang w:val="en"/>
        </w:rPr>
        <w:t>SO</w:t>
      </w:r>
      <w:r w:rsidR="00701F05" w:rsidRPr="00113E09">
        <w:rPr>
          <w:vertAlign w:val="subscript"/>
          <w:lang w:val="en"/>
        </w:rPr>
        <w:t>4</w:t>
      </w:r>
      <w:r w:rsidRPr="00113E09">
        <w:rPr>
          <w:lang w:val="en"/>
        </w:rPr>
        <w:t xml:space="preserve">, the model was also biased low for </w:t>
      </w:r>
      <w:r w:rsidR="00701F05" w:rsidRPr="00113E09">
        <w:rPr>
          <w:lang w:val="en"/>
        </w:rPr>
        <w:t>NH</w:t>
      </w:r>
      <w:r w:rsidR="00701F05" w:rsidRPr="00113E09">
        <w:rPr>
          <w:vertAlign w:val="subscript"/>
          <w:lang w:val="en"/>
        </w:rPr>
        <w:t>4</w:t>
      </w:r>
      <w:r w:rsidR="00701F05" w:rsidRPr="00113E09">
        <w:rPr>
          <w:lang w:val="en"/>
        </w:rPr>
        <w:t xml:space="preserve"> </w:t>
      </w:r>
      <w:r w:rsidRPr="00113E09">
        <w:rPr>
          <w:lang w:val="en"/>
        </w:rPr>
        <w:t xml:space="preserve">by about 34%. This underprediction in particulate </w:t>
      </w:r>
      <w:r w:rsidR="00701F05" w:rsidRPr="00113E09">
        <w:rPr>
          <w:lang w:val="en"/>
        </w:rPr>
        <w:t>NH</w:t>
      </w:r>
      <w:r w:rsidR="00701F05" w:rsidRPr="00113E09">
        <w:rPr>
          <w:vertAlign w:val="subscript"/>
          <w:lang w:val="en"/>
        </w:rPr>
        <w:t>4</w:t>
      </w:r>
      <w:r w:rsidR="00701F05" w:rsidRPr="00113E09">
        <w:rPr>
          <w:lang w:val="en"/>
        </w:rPr>
        <w:t xml:space="preserve"> </w:t>
      </w:r>
      <w:r w:rsidRPr="00113E09">
        <w:rPr>
          <w:lang w:val="en"/>
        </w:rPr>
        <w:t xml:space="preserve">can be attributed to an underestimation in modeled HCl (more details are provided in the TSD). The model performance for </w:t>
      </w:r>
      <w:r w:rsidR="00701F05" w:rsidRPr="00113E09">
        <w:rPr>
          <w:lang w:val="en"/>
        </w:rPr>
        <w:t>OC</w:t>
      </w:r>
      <w:r w:rsidRPr="00113E09">
        <w:rPr>
          <w:lang w:val="en"/>
        </w:rPr>
        <w:t xml:space="preserve"> was good for January 7, with modeled and observed concentrations being quite comparable. </w:t>
      </w:r>
      <w:r w:rsidRPr="00113E09">
        <w:t xml:space="preserve">The model, on the other hand, overestimated EC and CM. The overprediction in these species on days when the simulated atmospheric mixing was particularly strong, suggests that this overestimation is potentially related to an overestimation in their source emissions.  </w:t>
      </w:r>
    </w:p>
    <w:p w14:paraId="5E5B191F" w14:textId="77777777" w:rsidR="00BE2EEC" w:rsidRDefault="002B5798" w:rsidP="00BE2EEC">
      <w:pPr>
        <w:keepNext/>
      </w:pPr>
      <w:r>
        <w:rPr>
          <w:noProof/>
        </w:rPr>
        <w:drawing>
          <wp:inline distT="0" distB="0" distL="0" distR="0" wp14:anchorId="38B941FF" wp14:editId="234A1A16">
            <wp:extent cx="2834640" cy="3108960"/>
            <wp:effectExtent l="0" t="0" r="3810" b="0"/>
            <wp:docPr id="26" name="Chart 2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587B36">
        <w:rPr>
          <w:noProof/>
        </w:rPr>
        <w:t xml:space="preserve"> </w:t>
      </w:r>
      <w:r>
        <w:rPr>
          <w:noProof/>
        </w:rPr>
        <w:t xml:space="preserve">      </w:t>
      </w:r>
      <w:r>
        <w:rPr>
          <w:noProof/>
        </w:rPr>
        <w:drawing>
          <wp:inline distT="0" distB="0" distL="0" distR="0" wp14:anchorId="5EFB6D4D" wp14:editId="511296E3">
            <wp:extent cx="2834640" cy="3108960"/>
            <wp:effectExtent l="0" t="0" r="3810" b="0"/>
            <wp:docPr id="2" name="Chart 2">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22EA7F7" w14:textId="3D03FB2B" w:rsidR="00BE2EEC" w:rsidRPr="00113E09" w:rsidRDefault="00BE2EEC" w:rsidP="00BE2EEC">
      <w:pPr>
        <w:pStyle w:val="Caption"/>
        <w:rPr>
          <w:color w:val="auto"/>
        </w:rPr>
      </w:pPr>
      <w:bookmarkStart w:id="87" w:name="_Toc17269015"/>
      <w:r w:rsidRPr="00113E09">
        <w:rPr>
          <w:color w:val="auto"/>
        </w:rPr>
        <w:t xml:space="preserve">Figure IX.A.36. </w:t>
      </w:r>
      <w:r w:rsidR="00767843" w:rsidRPr="00113E09">
        <w:rPr>
          <w:color w:val="auto"/>
        </w:rPr>
        <w:fldChar w:fldCharType="begin"/>
      </w:r>
      <w:r w:rsidR="00767843" w:rsidRPr="00113E09">
        <w:rPr>
          <w:color w:val="auto"/>
        </w:rPr>
        <w:instrText xml:space="preserve"> S</w:instrText>
      </w:r>
      <w:r w:rsidR="00767843" w:rsidRPr="00113E09">
        <w:rPr>
          <w:color w:val="auto"/>
        </w:rPr>
        <w:instrText xml:space="preserve">EQ Figure_IX.A.36. \* ARABIC </w:instrText>
      </w:r>
      <w:r w:rsidR="00767843" w:rsidRPr="00113E09">
        <w:rPr>
          <w:color w:val="auto"/>
        </w:rPr>
        <w:fldChar w:fldCharType="separate"/>
      </w:r>
      <w:r w:rsidR="00767843">
        <w:rPr>
          <w:noProof/>
          <w:color w:val="auto"/>
        </w:rPr>
        <w:t>13</w:t>
      </w:r>
      <w:r w:rsidR="00767843" w:rsidRPr="00113E09">
        <w:rPr>
          <w:noProof/>
          <w:color w:val="auto"/>
        </w:rPr>
        <w:fldChar w:fldCharType="end"/>
      </w:r>
      <w:r w:rsidRPr="00113E09">
        <w:rPr>
          <w:color w:val="auto"/>
        </w:rPr>
        <w:t xml:space="preserve"> a) Measured and b) Modeled Species Contribution (in </w:t>
      </w:r>
      <w:r w:rsidR="00792B38" w:rsidRPr="00113E09">
        <w:rPr>
          <w:color w:val="auto"/>
        </w:rPr>
        <w:t>µ</w:t>
      </w:r>
      <w:r w:rsidR="00F63D30" w:rsidRPr="00113E09">
        <w:rPr>
          <w:color w:val="auto"/>
        </w:rPr>
        <w:t>g/m</w:t>
      </w:r>
      <w:r w:rsidR="00F63D30" w:rsidRPr="00113E09">
        <w:rPr>
          <w:color w:val="auto"/>
          <w:vertAlign w:val="superscript"/>
        </w:rPr>
        <w:t>3</w:t>
      </w:r>
      <w:r w:rsidR="00F63D30" w:rsidRPr="00113E09">
        <w:rPr>
          <w:color w:val="auto"/>
        </w:rPr>
        <w:t xml:space="preserve"> and </w:t>
      </w:r>
      <w:r w:rsidRPr="00113E09">
        <w:rPr>
          <w:color w:val="auto"/>
        </w:rPr>
        <w:t>%) to PM</w:t>
      </w:r>
      <w:r w:rsidRPr="00113E09">
        <w:rPr>
          <w:color w:val="auto"/>
          <w:vertAlign w:val="subscript"/>
        </w:rPr>
        <w:t>2.5</w:t>
      </w:r>
      <w:r w:rsidRPr="00113E09">
        <w:rPr>
          <w:color w:val="auto"/>
        </w:rPr>
        <w:t xml:space="preserve"> at Hawthorne Monitoring Station in the SLC NAA during a typical 24-hr PM</w:t>
      </w:r>
      <w:r w:rsidRPr="00113E09">
        <w:rPr>
          <w:color w:val="auto"/>
          <w:vertAlign w:val="subscript"/>
        </w:rPr>
        <w:t>2.5</w:t>
      </w:r>
      <w:r w:rsidRPr="00113E09">
        <w:rPr>
          <w:color w:val="auto"/>
        </w:rPr>
        <w:t xml:space="preserve"> exceedance day</w:t>
      </w:r>
      <w:bookmarkEnd w:id="87"/>
    </w:p>
    <w:p w14:paraId="2D679FD5" w14:textId="77777777" w:rsidR="00BE2EEC" w:rsidRDefault="00BE2EEC" w:rsidP="00AF5CA9">
      <w:pPr>
        <w:rPr>
          <w:color w:val="0070C0"/>
          <w:lang w:val="en"/>
        </w:rPr>
      </w:pPr>
      <w:bookmarkStart w:id="88" w:name="_1ksv4uv" w:colFirst="0" w:colLast="0"/>
      <w:bookmarkStart w:id="89" w:name="_44sinio" w:colFirst="0" w:colLast="0"/>
      <w:bookmarkStart w:id="90" w:name="_2jxsxqh" w:colFirst="0" w:colLast="0"/>
      <w:bookmarkEnd w:id="88"/>
      <w:bookmarkEnd w:id="89"/>
      <w:bookmarkEnd w:id="90"/>
    </w:p>
    <w:p w14:paraId="142C4D64" w14:textId="312D42BB" w:rsidR="002B5798" w:rsidRPr="00113E09" w:rsidRDefault="002B5798" w:rsidP="00AF5CA9">
      <w:pPr>
        <w:rPr>
          <w:lang w:val="en"/>
        </w:rPr>
      </w:pPr>
      <w:r w:rsidRPr="00113E09">
        <w:rPr>
          <w:lang w:val="en"/>
        </w:rPr>
        <w:lastRenderedPageBreak/>
        <w:t>The model performance was also evaluated for ammonia (NH</w:t>
      </w:r>
      <w:r w:rsidRPr="00113E09">
        <w:rPr>
          <w:vertAlign w:val="subscript"/>
          <w:lang w:val="en"/>
        </w:rPr>
        <w:t>3</w:t>
      </w:r>
      <w:r w:rsidRPr="00113E09">
        <w:rPr>
          <w:lang w:val="en"/>
        </w:rPr>
        <w:t>), which is an important precursor to the formation of ammonium nitrate, ammonium sulfate</w:t>
      </w:r>
      <w:r w:rsidR="003E4B3B" w:rsidRPr="00113E09">
        <w:rPr>
          <w:lang w:val="en"/>
        </w:rPr>
        <w:t>,</w:t>
      </w:r>
      <w:r w:rsidRPr="00113E09">
        <w:rPr>
          <w:lang w:val="en"/>
        </w:rPr>
        <w:t xml:space="preserve"> and ammonium chloride, all of which are important PM</w:t>
      </w:r>
      <w:r w:rsidRPr="00113E09">
        <w:rPr>
          <w:vertAlign w:val="subscript"/>
          <w:lang w:val="en"/>
        </w:rPr>
        <w:t>2.5</w:t>
      </w:r>
      <w:r w:rsidRPr="00113E09">
        <w:rPr>
          <w:lang w:val="en"/>
        </w:rPr>
        <w:t xml:space="preserve"> species accounting for over 50% of the PM</w:t>
      </w:r>
      <w:r w:rsidRPr="00113E09">
        <w:rPr>
          <w:vertAlign w:val="subscript"/>
          <w:lang w:val="en"/>
        </w:rPr>
        <w:t>2.5</w:t>
      </w:r>
      <w:r w:rsidRPr="00113E09">
        <w:rPr>
          <w:lang w:val="en"/>
        </w:rPr>
        <w:t xml:space="preserve"> mass during winter-time inversion events. </w:t>
      </w:r>
    </w:p>
    <w:p w14:paraId="6F59564F" w14:textId="36FDE762" w:rsidR="00AF5CA9" w:rsidRPr="00113E09" w:rsidRDefault="002B5798" w:rsidP="00AF5CA9">
      <w:r w:rsidRPr="00113E09">
        <w:rPr>
          <w:lang w:val="en"/>
        </w:rPr>
        <w:t xml:space="preserve">Hourly modeled </w:t>
      </w:r>
      <w:r w:rsidR="00701F05" w:rsidRPr="00113E09">
        <w:rPr>
          <w:lang w:val="en"/>
        </w:rPr>
        <w:t>NH</w:t>
      </w:r>
      <w:r w:rsidR="00701F05" w:rsidRPr="00113E09">
        <w:rPr>
          <w:vertAlign w:val="subscript"/>
          <w:lang w:val="en"/>
        </w:rPr>
        <w:t>3</w:t>
      </w:r>
      <w:r w:rsidR="00701F05" w:rsidRPr="00113E09">
        <w:rPr>
          <w:lang w:val="en"/>
        </w:rPr>
        <w:t xml:space="preserve"> </w:t>
      </w:r>
      <w:r w:rsidRPr="00113E09">
        <w:rPr>
          <w:lang w:val="en"/>
        </w:rPr>
        <w:t>(</w:t>
      </w:r>
      <w:r w:rsidR="00D002CA" w:rsidRPr="00113E09">
        <w:rPr>
          <w:lang w:val="en"/>
        </w:rPr>
        <w:t>Figure IX.A.36.1</w:t>
      </w:r>
      <w:r w:rsidR="00BE2EEC" w:rsidRPr="00113E09">
        <w:rPr>
          <w:lang w:val="en"/>
        </w:rPr>
        <w:t>4</w:t>
      </w:r>
      <w:r w:rsidRPr="00113E09">
        <w:rPr>
          <w:lang w:val="en"/>
        </w:rPr>
        <w:t xml:space="preserve">) was compared to hourly </w:t>
      </w:r>
      <w:r w:rsidR="00701F05" w:rsidRPr="00113E09">
        <w:rPr>
          <w:lang w:val="en"/>
        </w:rPr>
        <w:t>NH</w:t>
      </w:r>
      <w:r w:rsidR="00701F05" w:rsidRPr="00113E09">
        <w:rPr>
          <w:vertAlign w:val="subscript"/>
          <w:lang w:val="en"/>
        </w:rPr>
        <w:t>3</w:t>
      </w:r>
      <w:r w:rsidR="00701F05" w:rsidRPr="00113E09">
        <w:rPr>
          <w:lang w:val="en"/>
        </w:rPr>
        <w:t xml:space="preserve"> </w:t>
      </w:r>
      <w:r w:rsidRPr="00113E09">
        <w:rPr>
          <w:lang w:val="en"/>
        </w:rPr>
        <w:t xml:space="preserve">measurements (Figure </w:t>
      </w:r>
      <w:r w:rsidR="00D002CA" w:rsidRPr="00113E09">
        <w:rPr>
          <w:lang w:val="en"/>
        </w:rPr>
        <w:t>IX.A.36.1</w:t>
      </w:r>
      <w:r w:rsidR="00BE2EEC" w:rsidRPr="00113E09">
        <w:rPr>
          <w:lang w:val="en"/>
        </w:rPr>
        <w:t>5</w:t>
      </w:r>
      <w:r w:rsidRPr="00113E09">
        <w:rPr>
          <w:lang w:val="en"/>
        </w:rPr>
        <w:t>) conducted at</w:t>
      </w:r>
      <w:r w:rsidRPr="00113E09">
        <w:t xml:space="preserve"> </w:t>
      </w:r>
      <w:r w:rsidR="00701F05" w:rsidRPr="00113E09">
        <w:t xml:space="preserve">the </w:t>
      </w:r>
      <w:r w:rsidRPr="00113E09">
        <w:t>Neil Armstrong Academy</w:t>
      </w:r>
      <w:r w:rsidR="00701F05" w:rsidRPr="00113E09">
        <w:t>, located in West Valley City in the SLC NAA,</w:t>
      </w:r>
      <w:r w:rsidRPr="00113E09">
        <w:t xml:space="preserve"> during a special field study in winter 2016</w:t>
      </w:r>
      <w:r w:rsidRPr="00113E09">
        <w:rPr>
          <w:lang w:val="en"/>
        </w:rPr>
        <w:t xml:space="preserve">. Measurements from 2016 were considered since measurements of </w:t>
      </w:r>
      <w:r w:rsidR="00701F05" w:rsidRPr="00113E09">
        <w:rPr>
          <w:lang w:val="en"/>
        </w:rPr>
        <w:t>NH</w:t>
      </w:r>
      <w:r w:rsidR="00701F05" w:rsidRPr="00113E09">
        <w:rPr>
          <w:vertAlign w:val="subscript"/>
          <w:lang w:val="en"/>
        </w:rPr>
        <w:t>3</w:t>
      </w:r>
      <w:r w:rsidR="00701F05" w:rsidRPr="00113E09">
        <w:rPr>
          <w:lang w:val="en"/>
        </w:rPr>
        <w:t xml:space="preserve"> </w:t>
      </w:r>
      <w:r w:rsidRPr="00113E09">
        <w:rPr>
          <w:lang w:val="en"/>
        </w:rPr>
        <w:t xml:space="preserve">were not available during 2011. </w:t>
      </w:r>
      <w:r w:rsidRPr="00113E09">
        <w:t xml:space="preserve">Hourly measurements were also only available at </w:t>
      </w:r>
      <w:r w:rsidR="00701F05" w:rsidRPr="00113E09">
        <w:t xml:space="preserve">the </w:t>
      </w:r>
      <w:r w:rsidRPr="00113E09">
        <w:t xml:space="preserve">Neil Armstrong Academy. However, while these 2016 field study measurements cannot be directly compared to day-specific 2011 model simulations, the measurements are qualitatively useful to assess if the model predicts similar levels of </w:t>
      </w:r>
      <w:r w:rsidR="00701F05" w:rsidRPr="00113E09">
        <w:t>NH</w:t>
      </w:r>
      <w:r w:rsidR="00701F05" w:rsidRPr="00113E09">
        <w:rPr>
          <w:vertAlign w:val="subscript"/>
        </w:rPr>
        <w:t>3</w:t>
      </w:r>
      <w:r w:rsidR="00701F05" w:rsidRPr="00113E09">
        <w:t xml:space="preserve"> </w:t>
      </w:r>
      <w:r w:rsidRPr="00113E09">
        <w:t xml:space="preserve">during strong inversion conditions. </w:t>
      </w:r>
    </w:p>
    <w:p w14:paraId="1000AB10" w14:textId="023A9D2B" w:rsidR="002B5798" w:rsidRPr="00113E09" w:rsidRDefault="002B5798" w:rsidP="00AF5CA9">
      <w:r w:rsidRPr="00113E09">
        <w:t xml:space="preserve">Modeled </w:t>
      </w:r>
      <w:r w:rsidR="00701F05" w:rsidRPr="00113E09">
        <w:t>NH</w:t>
      </w:r>
      <w:r w:rsidR="00701F05" w:rsidRPr="00113E09">
        <w:rPr>
          <w:vertAlign w:val="subscript"/>
        </w:rPr>
        <w:t>3</w:t>
      </w:r>
      <w:r w:rsidR="00701F05" w:rsidRPr="00113E09">
        <w:t xml:space="preserve"> </w:t>
      </w:r>
      <w:r w:rsidRPr="00113E09">
        <w:t xml:space="preserve">at Hawthorne and </w:t>
      </w:r>
      <w:r w:rsidR="00701F05" w:rsidRPr="00113E09">
        <w:t xml:space="preserve">the </w:t>
      </w:r>
      <w:r w:rsidRPr="00113E09">
        <w:t>Neil Armstrong Academy is well within the range observed in 2016. It also displays a similar behavior to measured NH</w:t>
      </w:r>
      <w:r w:rsidRPr="00113E09">
        <w:rPr>
          <w:vertAlign w:val="subscript"/>
        </w:rPr>
        <w:t>3</w:t>
      </w:r>
      <w:r w:rsidRPr="00113E09">
        <w:t xml:space="preserve">, with </w:t>
      </w:r>
      <w:r w:rsidR="00701F05" w:rsidRPr="00113E09">
        <w:t xml:space="preserve">the </w:t>
      </w:r>
      <w:r w:rsidRPr="00113E09">
        <w:t>concentration dropping during peak PM</w:t>
      </w:r>
      <w:r w:rsidRPr="00113E09">
        <w:rPr>
          <w:vertAlign w:val="subscript"/>
        </w:rPr>
        <w:t>2.5</w:t>
      </w:r>
      <w:r w:rsidRPr="00113E09">
        <w:t xml:space="preserve"> events.</w:t>
      </w:r>
    </w:p>
    <w:p w14:paraId="56F6F94B" w14:textId="77777777" w:rsidR="00AF5CA9" w:rsidRDefault="002B5798" w:rsidP="00AF5CA9">
      <w:pPr>
        <w:keepNext/>
      </w:pPr>
      <w:r>
        <w:rPr>
          <w:noProof/>
        </w:rPr>
        <w:drawing>
          <wp:inline distT="0" distB="0" distL="0" distR="0" wp14:anchorId="191CB7E8" wp14:editId="7DC80988">
            <wp:extent cx="5943600" cy="2672715"/>
            <wp:effectExtent l="0" t="0" r="0" b="0"/>
            <wp:docPr id="27" name="Chart 27">
              <a:extLst xmlns:a="http://schemas.openxmlformats.org/drawingml/2006/main">
                <a:ext uri="{FF2B5EF4-FFF2-40B4-BE49-F238E27FC236}">
                  <a16:creationId xmlns:a16="http://schemas.microsoft.com/office/drawing/2014/main" id="{A5DAB97F-D91C-4E94-8F87-8BD20FDE67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FCDE926" w14:textId="4FBFD9C3" w:rsidR="00B7790D" w:rsidRPr="00113E09" w:rsidRDefault="00AF5CA9" w:rsidP="00AF5CA9">
      <w:pPr>
        <w:pStyle w:val="Caption"/>
        <w:rPr>
          <w:color w:val="auto"/>
        </w:rPr>
      </w:pPr>
      <w:bookmarkStart w:id="91" w:name="_Toc17269016"/>
      <w:r w:rsidRPr="00113E09">
        <w:rPr>
          <w:color w:val="auto"/>
        </w:rPr>
        <w:t xml:space="preserve">Figure IX.A.36. </w:t>
      </w:r>
      <w:r w:rsidR="00767843" w:rsidRPr="00113E09">
        <w:rPr>
          <w:color w:val="auto"/>
        </w:rPr>
        <w:fldChar w:fldCharType="begin"/>
      </w:r>
      <w:r w:rsidR="00767843" w:rsidRPr="00113E09">
        <w:rPr>
          <w:color w:val="auto"/>
        </w:rPr>
        <w:instrText xml:space="preserve"> SEQ Figure_IX.A.36. \* ARABIC </w:instrText>
      </w:r>
      <w:r w:rsidR="00767843" w:rsidRPr="00113E09">
        <w:rPr>
          <w:color w:val="auto"/>
        </w:rPr>
        <w:fldChar w:fldCharType="separate"/>
      </w:r>
      <w:r w:rsidR="00767843">
        <w:rPr>
          <w:noProof/>
          <w:color w:val="auto"/>
        </w:rPr>
        <w:t>14</w:t>
      </w:r>
      <w:r w:rsidR="00767843" w:rsidRPr="00113E09">
        <w:rPr>
          <w:noProof/>
          <w:color w:val="auto"/>
        </w:rPr>
        <w:fldChar w:fldCharType="end"/>
      </w:r>
      <w:r w:rsidRPr="00113E09">
        <w:rPr>
          <w:color w:val="auto"/>
          <w:lang w:val="en"/>
        </w:rPr>
        <w:t xml:space="preserve"> Hourly </w:t>
      </w:r>
      <w:r w:rsidR="007A6ED1" w:rsidRPr="00113E09">
        <w:rPr>
          <w:color w:val="auto"/>
          <w:lang w:val="en"/>
        </w:rPr>
        <w:t>T</w:t>
      </w:r>
      <w:r w:rsidRPr="00113E09">
        <w:rPr>
          <w:color w:val="auto"/>
          <w:lang w:val="en"/>
        </w:rPr>
        <w:t xml:space="preserve">ime </w:t>
      </w:r>
      <w:r w:rsidR="007A6ED1" w:rsidRPr="00113E09">
        <w:rPr>
          <w:color w:val="auto"/>
          <w:lang w:val="en"/>
        </w:rPr>
        <w:t>S</w:t>
      </w:r>
      <w:r w:rsidRPr="00113E09">
        <w:rPr>
          <w:color w:val="auto"/>
          <w:lang w:val="en"/>
        </w:rPr>
        <w:t xml:space="preserve">eries of </w:t>
      </w:r>
      <w:r w:rsidR="007A6ED1" w:rsidRPr="00113E09">
        <w:rPr>
          <w:color w:val="auto"/>
          <w:lang w:val="en"/>
        </w:rPr>
        <w:t>M</w:t>
      </w:r>
      <w:r w:rsidRPr="00113E09">
        <w:rPr>
          <w:color w:val="auto"/>
          <w:lang w:val="en"/>
        </w:rPr>
        <w:t xml:space="preserve">odeled </w:t>
      </w:r>
      <w:r w:rsidR="007A6ED1" w:rsidRPr="00113E09">
        <w:rPr>
          <w:color w:val="auto"/>
          <w:lang w:val="en"/>
        </w:rPr>
        <w:t>A</w:t>
      </w:r>
      <w:r w:rsidRPr="00113E09">
        <w:rPr>
          <w:color w:val="auto"/>
          <w:lang w:val="en"/>
        </w:rPr>
        <w:t>mmonia (ppb) at Hawthorne and Neil Armstrong Academy during January 1 – 10, 2011</w:t>
      </w:r>
      <w:bookmarkEnd w:id="91"/>
    </w:p>
    <w:p w14:paraId="56C3F78D" w14:textId="77777777" w:rsidR="002B5798" w:rsidRPr="002136C8" w:rsidRDefault="002B5798" w:rsidP="002B5798">
      <w:pPr>
        <w:rPr>
          <w:color w:val="FF0000"/>
          <w:lang w:val="en"/>
        </w:rPr>
      </w:pPr>
    </w:p>
    <w:p w14:paraId="019E0962" w14:textId="77777777" w:rsidR="00AF5CA9" w:rsidRDefault="002B5798" w:rsidP="00AF5CA9">
      <w:pPr>
        <w:keepNext/>
      </w:pPr>
      <w:r w:rsidRPr="002136C8">
        <w:rPr>
          <w:noProof/>
          <w:color w:val="FF0000"/>
        </w:rPr>
        <w:lastRenderedPageBreak/>
        <w:drawing>
          <wp:inline distT="114300" distB="114300" distL="114300" distR="114300" wp14:anchorId="7E22A6D4" wp14:editId="1267201C">
            <wp:extent cx="4572000" cy="1185863"/>
            <wp:effectExtent l="0" t="0" r="0" b="0"/>
            <wp:docPr id="4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6"/>
                    <a:srcRect t="42929"/>
                    <a:stretch>
                      <a:fillRect/>
                    </a:stretch>
                  </pic:blipFill>
                  <pic:spPr>
                    <a:xfrm>
                      <a:off x="0" y="0"/>
                      <a:ext cx="4572000" cy="1185863"/>
                    </a:xfrm>
                    <a:prstGeom prst="rect">
                      <a:avLst/>
                    </a:prstGeom>
                    <a:ln/>
                  </pic:spPr>
                </pic:pic>
              </a:graphicData>
            </a:graphic>
          </wp:inline>
        </w:drawing>
      </w:r>
    </w:p>
    <w:p w14:paraId="6B953A03" w14:textId="2810F0C1" w:rsidR="0068716A" w:rsidRPr="00113E09" w:rsidRDefault="00AF5CA9" w:rsidP="00AF5CA9">
      <w:pPr>
        <w:pStyle w:val="Caption"/>
        <w:rPr>
          <w:color w:val="auto"/>
        </w:rPr>
      </w:pPr>
      <w:bookmarkStart w:id="92" w:name="_Toc17269017"/>
      <w:r w:rsidRPr="00113E09">
        <w:rPr>
          <w:color w:val="auto"/>
        </w:rPr>
        <w:t xml:space="preserve">Figure IX.A.36. </w:t>
      </w:r>
      <w:r w:rsidR="00767843" w:rsidRPr="00113E09">
        <w:rPr>
          <w:color w:val="auto"/>
        </w:rPr>
        <w:fldChar w:fldCharType="begin"/>
      </w:r>
      <w:r w:rsidR="00767843" w:rsidRPr="00113E09">
        <w:rPr>
          <w:color w:val="auto"/>
        </w:rPr>
        <w:instrText xml:space="preserve"> SEQ Figure_IX.A.36. \* ARABIC </w:instrText>
      </w:r>
      <w:r w:rsidR="00767843" w:rsidRPr="00113E09">
        <w:rPr>
          <w:color w:val="auto"/>
        </w:rPr>
        <w:fldChar w:fldCharType="separate"/>
      </w:r>
      <w:r w:rsidR="00767843">
        <w:rPr>
          <w:noProof/>
          <w:color w:val="auto"/>
        </w:rPr>
        <w:t>15</w:t>
      </w:r>
      <w:r w:rsidR="00767843" w:rsidRPr="00113E09">
        <w:rPr>
          <w:noProof/>
          <w:color w:val="auto"/>
        </w:rPr>
        <w:fldChar w:fldCharType="end"/>
      </w:r>
      <w:r w:rsidRPr="00113E09">
        <w:rPr>
          <w:color w:val="auto"/>
        </w:rPr>
        <w:t xml:space="preserve"> Hourly </w:t>
      </w:r>
      <w:r w:rsidR="000F551D" w:rsidRPr="00113E09">
        <w:rPr>
          <w:color w:val="auto"/>
        </w:rPr>
        <w:t>M</w:t>
      </w:r>
      <w:r w:rsidRPr="00113E09">
        <w:rPr>
          <w:color w:val="auto"/>
          <w:lang w:val="en"/>
        </w:rPr>
        <w:t xml:space="preserve">easured </w:t>
      </w:r>
      <w:r w:rsidR="000F551D" w:rsidRPr="00113E09">
        <w:rPr>
          <w:color w:val="auto"/>
          <w:lang w:val="en"/>
        </w:rPr>
        <w:t>A</w:t>
      </w:r>
      <w:r w:rsidRPr="00113E09">
        <w:rPr>
          <w:color w:val="auto"/>
          <w:lang w:val="en"/>
        </w:rPr>
        <w:t xml:space="preserve">mmonia on y-axis (ppb) at Neil Armstrong Academy in the SLC NAA </w:t>
      </w:r>
      <w:r w:rsidR="00725B74" w:rsidRPr="00113E09">
        <w:rPr>
          <w:color w:val="auto"/>
          <w:lang w:val="en"/>
        </w:rPr>
        <w:t>d</w:t>
      </w:r>
      <w:r w:rsidRPr="00113E09">
        <w:rPr>
          <w:color w:val="auto"/>
          <w:lang w:val="en"/>
        </w:rPr>
        <w:t>uring January – February 2016</w:t>
      </w:r>
      <w:r w:rsidR="00A96FB0" w:rsidRPr="00113E09">
        <w:rPr>
          <w:color w:val="auto"/>
          <w:lang w:val="en"/>
        </w:rPr>
        <w:t>. Note that ammonia drops during the PCAP of Feb</w:t>
      </w:r>
      <w:r w:rsidR="0067319C" w:rsidRPr="00113E09">
        <w:rPr>
          <w:color w:val="auto"/>
          <w:lang w:val="en"/>
        </w:rPr>
        <w:t>ruary</w:t>
      </w:r>
      <w:r w:rsidR="00A96FB0" w:rsidRPr="00113E09">
        <w:rPr>
          <w:color w:val="auto"/>
          <w:lang w:val="en"/>
        </w:rPr>
        <w:t xml:space="preserve"> 7-14, 201</w:t>
      </w:r>
      <w:r w:rsidR="009A6C10" w:rsidRPr="00113E09">
        <w:rPr>
          <w:color w:val="auto"/>
          <w:lang w:val="en"/>
        </w:rPr>
        <w:t>6.</w:t>
      </w:r>
      <w:bookmarkEnd w:id="92"/>
    </w:p>
    <w:p w14:paraId="7347D8F8" w14:textId="77777777" w:rsidR="009A6C10" w:rsidRDefault="009A6C10" w:rsidP="00CA3B78">
      <w:pPr>
        <w:rPr>
          <w:i/>
          <w:lang w:val="en"/>
        </w:rPr>
      </w:pPr>
      <w:bookmarkStart w:id="93" w:name="_z337ya" w:colFirst="0" w:colLast="0"/>
      <w:bookmarkStart w:id="94" w:name="_Toc522890991"/>
      <w:bookmarkEnd w:id="93"/>
    </w:p>
    <w:p w14:paraId="4A8B1E97" w14:textId="247D3ADC" w:rsidR="002B5798" w:rsidRPr="00CA3B78" w:rsidRDefault="009A6C10" w:rsidP="00CA3B78">
      <w:pPr>
        <w:rPr>
          <w:i/>
          <w:lang w:val="en"/>
        </w:rPr>
      </w:pPr>
      <w:r>
        <w:rPr>
          <w:i/>
          <w:lang w:val="en"/>
        </w:rPr>
        <w:t>S</w:t>
      </w:r>
      <w:r w:rsidR="002B5798" w:rsidRPr="00CA3B78">
        <w:rPr>
          <w:i/>
          <w:lang w:val="en"/>
        </w:rPr>
        <w:t>ummary of Model Performance</w:t>
      </w:r>
      <w:bookmarkEnd w:id="94"/>
      <w:r w:rsidR="002B5798" w:rsidRPr="00CA3B78">
        <w:rPr>
          <w:i/>
          <w:lang w:val="en"/>
        </w:rPr>
        <w:t xml:space="preserve"> </w:t>
      </w:r>
    </w:p>
    <w:p w14:paraId="3A02F462" w14:textId="56AFBE89" w:rsidR="00CA3B78" w:rsidRPr="00CA3B78" w:rsidRDefault="00CA3B78" w:rsidP="00CA3B78">
      <w:r w:rsidRPr="00CA3B78">
        <w:rPr>
          <w:lang w:val="en"/>
        </w:rPr>
        <w:t>The model performance replicating the buildup and clear out of PM</w:t>
      </w:r>
      <w:r w:rsidRPr="00CA3B78">
        <w:rPr>
          <w:vertAlign w:val="subscript"/>
          <w:lang w:val="en"/>
        </w:rPr>
        <w:t>2.5</w:t>
      </w:r>
      <w:r w:rsidRPr="00CA3B78">
        <w:rPr>
          <w:lang w:val="en"/>
        </w:rPr>
        <w:t xml:space="preserve"> is good overall. The model captures the temporal variation in PM</w:t>
      </w:r>
      <w:r w:rsidRPr="00CA3B78">
        <w:rPr>
          <w:vertAlign w:val="subscript"/>
          <w:lang w:val="en"/>
        </w:rPr>
        <w:t>2.5</w:t>
      </w:r>
      <w:r w:rsidR="00631A50">
        <w:rPr>
          <w:lang w:val="en"/>
        </w:rPr>
        <w:t xml:space="preserve"> well</w:t>
      </w:r>
      <w:r w:rsidRPr="00CA3B78">
        <w:rPr>
          <w:lang w:val="en"/>
        </w:rPr>
        <w:t>. The gradual increase in PM</w:t>
      </w:r>
      <w:r w:rsidRPr="00CA3B78">
        <w:rPr>
          <w:vertAlign w:val="subscript"/>
          <w:lang w:val="en"/>
        </w:rPr>
        <w:t>2.5</w:t>
      </w:r>
      <w:r w:rsidRPr="00CA3B78">
        <w:rPr>
          <w:lang w:val="en"/>
        </w:rPr>
        <w:t xml:space="preserve"> concentration and its transition back to low levels are generally well reproduced by the model. The model also predicts reasonably well PM</w:t>
      </w:r>
      <w:r w:rsidRPr="00CA3B78">
        <w:rPr>
          <w:vertAlign w:val="subscript"/>
          <w:lang w:val="en"/>
        </w:rPr>
        <w:t>2.5</w:t>
      </w:r>
      <w:r w:rsidRPr="00CA3B78">
        <w:rPr>
          <w:lang w:val="en"/>
        </w:rPr>
        <w:t xml:space="preserve"> concentration on peak days. It also overall replicates well the composition of PM</w:t>
      </w:r>
      <w:r w:rsidRPr="00CA3B78">
        <w:rPr>
          <w:vertAlign w:val="subscript"/>
          <w:lang w:val="en"/>
        </w:rPr>
        <w:t>2.5</w:t>
      </w:r>
      <w:r w:rsidRPr="00CA3B78">
        <w:rPr>
          <w:lang w:val="en"/>
        </w:rPr>
        <w:t xml:space="preserve"> on exceedance days, with good model performance for secondary nitrate and ammonium which account for over 50% of PM</w:t>
      </w:r>
      <w:r w:rsidRPr="00CA3B78">
        <w:rPr>
          <w:vertAlign w:val="subscript"/>
          <w:lang w:val="en"/>
        </w:rPr>
        <w:t>2.5</w:t>
      </w:r>
      <w:r w:rsidRPr="00CA3B78">
        <w:rPr>
          <w:lang w:val="en"/>
        </w:rPr>
        <w:t xml:space="preserve"> mass. </w:t>
      </w:r>
      <w:r w:rsidRPr="00566E9B">
        <w:rPr>
          <w:lang w:val="en"/>
        </w:rPr>
        <w:t>Simulated ammonia concentrations are also within the range of those observed, further indicating that the model overall performs well.</w:t>
      </w:r>
      <w:r w:rsidRPr="00CA3B78">
        <w:rPr>
          <w:lang w:val="en"/>
        </w:rPr>
        <w:t xml:space="preserve">  </w:t>
      </w:r>
    </w:p>
    <w:p w14:paraId="1E661BD6" w14:textId="3616416C" w:rsidR="00CA3B78" w:rsidRDefault="00CA3B78" w:rsidP="00CA3B78">
      <w:r w:rsidRPr="00CA3B78">
        <w:t xml:space="preserve">Several observations should be noted on the implications of these model performance findings on the attainment modeling presented in the following section. First, it has been demonstrated that model performance overall is good and, thus, the model can be used for air quality planning purposes. Second, consistent with EPA guidance, the model is used in a relative sense to project future year values. EPA suggests that this approach “should reduce some of the uncertainty attendant with using absolute model predictions alone.”  </w:t>
      </w:r>
      <w:r w:rsidR="00764EEC">
        <w:t xml:space="preserve"> </w:t>
      </w:r>
    </w:p>
    <w:p w14:paraId="22DA4896" w14:textId="34D8F9AC" w:rsidR="00764EEC" w:rsidRPr="00353148" w:rsidRDefault="00764EEC" w:rsidP="00353148">
      <w:pPr>
        <w:pStyle w:val="Heading3"/>
      </w:pPr>
      <w:bookmarkStart w:id="95" w:name="_Toc15907115"/>
      <w:bookmarkStart w:id="96" w:name="_Toc17268977"/>
      <w:r w:rsidRPr="00353148">
        <w:t>Modeled Attainment Test</w:t>
      </w:r>
      <w:bookmarkEnd w:id="95"/>
      <w:bookmarkEnd w:id="96"/>
      <w:r w:rsidRPr="00353148">
        <w:t xml:space="preserve"> </w:t>
      </w:r>
    </w:p>
    <w:p w14:paraId="60A486F5" w14:textId="77777777" w:rsidR="00764EEC" w:rsidRDefault="00764EEC" w:rsidP="00764EEC">
      <w:pPr>
        <w:spacing w:after="0" w:line="240" w:lineRule="auto"/>
        <w:rPr>
          <w:rFonts w:eastAsia="Times New Roman" w:cs="Times New Roman"/>
          <w:bCs/>
          <w:i/>
        </w:rPr>
      </w:pPr>
    </w:p>
    <w:p w14:paraId="68B15EDF" w14:textId="402182D2" w:rsidR="00764EEC" w:rsidRPr="008A58D4" w:rsidRDefault="00764EEC" w:rsidP="00764EEC">
      <w:pPr>
        <w:spacing w:after="0" w:line="240" w:lineRule="auto"/>
        <w:rPr>
          <w:rFonts w:eastAsia="Times New Roman" w:cs="Times New Roman"/>
          <w:bCs/>
          <w:i/>
        </w:rPr>
      </w:pPr>
      <w:r w:rsidRPr="008A58D4">
        <w:rPr>
          <w:rFonts w:eastAsia="Times New Roman" w:cs="Times New Roman"/>
          <w:bCs/>
          <w:i/>
        </w:rPr>
        <w:t>Introduction</w:t>
      </w:r>
    </w:p>
    <w:p w14:paraId="77918838" w14:textId="77777777" w:rsidR="00764EEC" w:rsidRPr="00CF773B" w:rsidRDefault="00764EEC" w:rsidP="00764EEC">
      <w:pPr>
        <w:spacing w:after="0" w:line="240" w:lineRule="auto"/>
        <w:rPr>
          <w:rFonts w:eastAsia="Times New Roman" w:cs="Times New Roman"/>
        </w:rPr>
      </w:pPr>
    </w:p>
    <w:p w14:paraId="2523CC2C" w14:textId="77777777" w:rsidR="00764EEC" w:rsidRPr="00CF773B" w:rsidRDefault="00764EEC" w:rsidP="00764EEC">
      <w:r w:rsidRPr="00CF773B">
        <w:t>With acceptable performance, the model can be utilized to make future-year attainment</w:t>
      </w:r>
      <w:r w:rsidRPr="00CF773B">
        <w:rPr>
          <w:u w:val="single"/>
        </w:rPr>
        <w:t xml:space="preserve"> </w:t>
      </w:r>
      <w:r w:rsidRPr="00CF773B">
        <w:t xml:space="preserve">projections.  For any given (future) year, an attainment projection is made by calculating a concentration termed the Future Design Value (FDV). This </w:t>
      </w:r>
      <w:r>
        <w:t>value is calculated</w:t>
      </w:r>
      <w:r w:rsidRPr="00CF773B">
        <w:t xml:space="preserve"> for each monitor included in the analysis, and</w:t>
      </w:r>
      <w:r>
        <w:t xml:space="preserve"> then compared to the NAAQS (35</w:t>
      </w:r>
      <w:r w:rsidRPr="00CF773B">
        <w:t xml:space="preserve"> µg/m</w:t>
      </w:r>
      <w:r w:rsidRPr="00CF773B">
        <w:rPr>
          <w:vertAlign w:val="superscript"/>
        </w:rPr>
        <w:t>3</w:t>
      </w:r>
      <w:r w:rsidRPr="00CF773B">
        <w:t xml:space="preserve">). If the FDV at every monitor located within a </w:t>
      </w:r>
      <w:r>
        <w:t>NAA</w:t>
      </w:r>
      <w:r w:rsidRPr="00CF773B">
        <w:t xml:space="preserve"> is </w:t>
      </w:r>
      <w:r>
        <w:t>less</w:t>
      </w:r>
      <w:r w:rsidRPr="00CF773B">
        <w:t xml:space="preserve"> than the NAAQS, this demonstrate</w:t>
      </w:r>
      <w:r>
        <w:t>s</w:t>
      </w:r>
      <w:r w:rsidRPr="00CF773B">
        <w:t xml:space="preserve"> attainment for that area in that future year.</w:t>
      </w:r>
    </w:p>
    <w:p w14:paraId="695C8953" w14:textId="1DAC3943" w:rsidR="00764EEC" w:rsidRPr="00CF773B" w:rsidRDefault="00764EEC" w:rsidP="00764EEC">
      <w:r w:rsidRPr="00CF773B">
        <w:t>A maintenance plan must demonstrate continued attainment of the NAAQS for a span of ten years.  This span is measured from the time EPA approves the plan, a date which is somewhat uncertain during plan development.  To be conservative, attainmen</w:t>
      </w:r>
      <w:r>
        <w:t>t projections were made for 2035</w:t>
      </w:r>
      <w:r w:rsidRPr="00CF773B">
        <w:t>.  An a</w:t>
      </w:r>
      <w:r>
        <w:t>ssessment was also made for 2026</w:t>
      </w:r>
      <w:r w:rsidRPr="00CF773B">
        <w:t xml:space="preserve"> as a “spot-check” against emission trends within the </w:t>
      </w:r>
      <w:r w:rsidR="00701F05" w:rsidRPr="00CF773B">
        <w:t>ten-year</w:t>
      </w:r>
      <w:r w:rsidRPr="00CF773B">
        <w:t xml:space="preserve"> span.</w:t>
      </w:r>
    </w:p>
    <w:p w14:paraId="28548FE1" w14:textId="77777777" w:rsidR="00701F05" w:rsidRDefault="00701F05" w:rsidP="00764EEC">
      <w:pPr>
        <w:rPr>
          <w:bCs/>
          <w:i/>
        </w:rPr>
      </w:pPr>
    </w:p>
    <w:p w14:paraId="1E0D3116" w14:textId="68949CE9" w:rsidR="00764EEC" w:rsidRPr="00593E58" w:rsidRDefault="00764EEC" w:rsidP="00764EEC">
      <w:pPr>
        <w:rPr>
          <w:bCs/>
          <w:i/>
        </w:rPr>
      </w:pPr>
      <w:r w:rsidRPr="00593E58">
        <w:rPr>
          <w:bCs/>
          <w:i/>
        </w:rPr>
        <w:lastRenderedPageBreak/>
        <w:t>PM</w:t>
      </w:r>
      <w:r w:rsidRPr="00593E58">
        <w:rPr>
          <w:bCs/>
          <w:i/>
          <w:vertAlign w:val="subscript"/>
        </w:rPr>
        <w:t>2.5</w:t>
      </w:r>
      <w:r w:rsidRPr="00593E58">
        <w:rPr>
          <w:bCs/>
          <w:i/>
        </w:rPr>
        <w:t xml:space="preserve"> Baseline Design Values</w:t>
      </w:r>
    </w:p>
    <w:p w14:paraId="7B20DD19" w14:textId="77777777" w:rsidR="00764EEC" w:rsidRDefault="00764EEC" w:rsidP="00764EEC">
      <w:r w:rsidRPr="00CF773B">
        <w:t>For any monitor, the FDV is greatly influenced by existing air quality at that location.  This can be quantified and expressed as a Baseline Design Value (BDV).  The BDV is consistent with the form of the 24-hour PM</w:t>
      </w:r>
      <w:r>
        <w:rPr>
          <w:vertAlign w:val="subscript"/>
        </w:rPr>
        <w:t>2.5</w:t>
      </w:r>
      <w:r>
        <w:t xml:space="preserve"> NAAQS, which is the 98</w:t>
      </w:r>
      <w:r w:rsidRPr="00950546">
        <w:rPr>
          <w:vertAlign w:val="superscript"/>
        </w:rPr>
        <w:t>th</w:t>
      </w:r>
      <w:r>
        <w:t xml:space="preserve"> percentile value averaged over a three-year period</w:t>
      </w:r>
      <w:r w:rsidRPr="00CF773B">
        <w:t>.  Quantification of the BDV for each monitor is included in the TSD, and is consistent with EPA guidance.</w:t>
      </w:r>
    </w:p>
    <w:p w14:paraId="2B89B358" w14:textId="77777777" w:rsidR="00514877" w:rsidRPr="006D45BA" w:rsidRDefault="00514877" w:rsidP="00514877">
      <w:pPr>
        <w:rPr>
          <w:bCs/>
          <w:i/>
        </w:rPr>
      </w:pPr>
      <w:r w:rsidRPr="006D45BA">
        <w:rPr>
          <w:bCs/>
          <w:i/>
        </w:rPr>
        <w:t>Relative Response Factors</w:t>
      </w:r>
    </w:p>
    <w:p w14:paraId="5CB204E5" w14:textId="0775768E" w:rsidR="00514877" w:rsidRDefault="00514877" w:rsidP="00514877">
      <w:r w:rsidRPr="00CF773B">
        <w:t>In making future-year predictions, the output from</w:t>
      </w:r>
      <w:r>
        <w:t xml:space="preserve"> the C</w:t>
      </w:r>
      <w:r w:rsidR="00EC7FD8">
        <w:t>AMx</w:t>
      </w:r>
      <w:r>
        <w:t xml:space="preserve"> </w:t>
      </w:r>
      <w:r w:rsidRPr="00CF773B">
        <w:t>model is not considered to be an absolute answer.  Rather, the model is used in a relative sense.  In doing so, a comparison is made using the predicted concentrations for both the year in question and a pre-selected base</w:t>
      </w:r>
      <w:r>
        <w:t xml:space="preserve">line </w:t>
      </w:r>
      <w:r w:rsidRPr="00CF773B">
        <w:t>y</w:t>
      </w:r>
      <w:r>
        <w:t>ear, which for this plan is 2017</w:t>
      </w:r>
      <w:r w:rsidRPr="00CF773B">
        <w:t>. This comparison results in a Relative Response Factor (RRF).</w:t>
      </w:r>
      <w:r>
        <w:t xml:space="preserve"> </w:t>
      </w:r>
    </w:p>
    <w:p w14:paraId="34729B6F" w14:textId="064E1EBF" w:rsidR="00514877" w:rsidRPr="0065339A" w:rsidRDefault="00514877" w:rsidP="00514877">
      <w:pPr>
        <w:rPr>
          <w:b/>
          <w:u w:val="single"/>
          <w:lang w:val="en"/>
        </w:rPr>
      </w:pPr>
      <w:bookmarkStart w:id="97" w:name="_Toc522890993"/>
      <w:r w:rsidRPr="0065339A">
        <w:rPr>
          <w:lang w:val="en"/>
        </w:rPr>
        <w:t>The UDAQ used the Software for Model Attainment Test - Community Edition (SMAT-CE) v. 1.01 utility from EPA</w:t>
      </w:r>
      <w:r w:rsidRPr="0065339A">
        <w:rPr>
          <w:vertAlign w:val="superscript"/>
          <w:lang w:val="en"/>
        </w:rPr>
        <w:footnoteReference w:id="28"/>
      </w:r>
      <w:r w:rsidRPr="0065339A">
        <w:rPr>
          <w:lang w:val="en"/>
        </w:rPr>
        <w:t xml:space="preserve"> to perform the modeled attainment test for daily PM</w:t>
      </w:r>
      <w:r w:rsidRPr="0065339A">
        <w:rPr>
          <w:vertAlign w:val="subscript"/>
          <w:lang w:val="en"/>
        </w:rPr>
        <w:t>2.5</w:t>
      </w:r>
      <w:r>
        <w:rPr>
          <w:lang w:val="en"/>
        </w:rPr>
        <w:t xml:space="preserve">. </w:t>
      </w:r>
      <w:r w:rsidRPr="0065339A">
        <w:rPr>
          <w:lang w:val="en"/>
        </w:rPr>
        <w:t>SMAT is designed to interpolate the species fractions of the PM mass from the Speciation Trends Network (STN) monitors to the FRM monitors.  It also calculates the relative response factor (RRF) for grid cells near each monitor and uses these to calculate a future year design value for these grid cells. A grid of 3-by-3 (9) cells surrounding the monitors was used as the boundary for RRF calculations.</w:t>
      </w:r>
      <w:bookmarkEnd w:id="97"/>
    </w:p>
    <w:p w14:paraId="2BC1CDCA" w14:textId="1B8E49FC" w:rsidR="00514877" w:rsidRPr="0065339A" w:rsidRDefault="00514877" w:rsidP="00514877">
      <w:pPr>
        <w:rPr>
          <w:b/>
          <w:lang w:val="en"/>
        </w:rPr>
      </w:pPr>
      <w:bookmarkStart w:id="98" w:name="_Toc522890994"/>
      <w:r w:rsidRPr="0065339A">
        <w:rPr>
          <w:lang w:val="en"/>
        </w:rPr>
        <w:t xml:space="preserve">The State of Utah operates three Chemical Speciation Network (CSN) monitors: Hawthorne, Bountiful, </w:t>
      </w:r>
      <w:r>
        <w:rPr>
          <w:lang w:val="en"/>
        </w:rPr>
        <w:t xml:space="preserve">and </w:t>
      </w:r>
      <w:r w:rsidRPr="0065339A">
        <w:rPr>
          <w:lang w:val="en"/>
        </w:rPr>
        <w:t xml:space="preserve">Lindon. Hawthorne is located in Salt Lake County, </w:t>
      </w:r>
      <w:r>
        <w:rPr>
          <w:lang w:val="en"/>
        </w:rPr>
        <w:t>the</w:t>
      </w:r>
      <w:r w:rsidRPr="0065339A">
        <w:rPr>
          <w:lang w:val="en"/>
        </w:rPr>
        <w:t xml:space="preserve"> Bountiful</w:t>
      </w:r>
      <w:r>
        <w:rPr>
          <w:lang w:val="en"/>
        </w:rPr>
        <w:t xml:space="preserve"> monitor</w:t>
      </w:r>
      <w:r w:rsidRPr="0065339A">
        <w:rPr>
          <w:lang w:val="en"/>
        </w:rPr>
        <w:t xml:space="preserve"> is in Davis to the </w:t>
      </w:r>
      <w:r w:rsidR="00F80C45">
        <w:rPr>
          <w:lang w:val="en"/>
        </w:rPr>
        <w:t>n</w:t>
      </w:r>
      <w:r w:rsidRPr="0065339A">
        <w:rPr>
          <w:lang w:val="en"/>
        </w:rPr>
        <w:t xml:space="preserve">orth, and </w:t>
      </w:r>
      <w:r>
        <w:rPr>
          <w:lang w:val="en"/>
        </w:rPr>
        <w:t xml:space="preserve">the </w:t>
      </w:r>
      <w:r w:rsidRPr="0065339A">
        <w:rPr>
          <w:lang w:val="en"/>
        </w:rPr>
        <w:t>Lindon</w:t>
      </w:r>
      <w:r>
        <w:rPr>
          <w:lang w:val="en"/>
        </w:rPr>
        <w:t xml:space="preserve"> monitor </w:t>
      </w:r>
      <w:r w:rsidRPr="0065339A">
        <w:rPr>
          <w:lang w:val="en"/>
        </w:rPr>
        <w:t xml:space="preserve">is located in Utah County to the </w:t>
      </w:r>
      <w:r w:rsidR="00F80C45">
        <w:rPr>
          <w:lang w:val="en"/>
        </w:rPr>
        <w:t>s</w:t>
      </w:r>
      <w:r w:rsidRPr="0065339A">
        <w:rPr>
          <w:lang w:val="en"/>
        </w:rPr>
        <w:t>outh. Of the three, Hawthorne samples one out of three days, while the other two sample one in six days.</w:t>
      </w:r>
      <w:bookmarkEnd w:id="98"/>
    </w:p>
    <w:p w14:paraId="45007767" w14:textId="77777777" w:rsidR="00514877" w:rsidRPr="00CF773B" w:rsidRDefault="00514877" w:rsidP="00514877">
      <w:pPr>
        <w:rPr>
          <w:lang w:val="en"/>
        </w:rPr>
      </w:pPr>
      <w:bookmarkStart w:id="99" w:name="_Toc522890995"/>
      <w:r w:rsidRPr="0065339A">
        <w:rPr>
          <w:lang w:val="en"/>
        </w:rPr>
        <w:t>This mismatch in sampling frequency lead, initially, to interpolated speciation profiles that were unexpectedly non-uniform across the Salt Lake Valley. To create more realistic speciation profiles, the CSN data collected at the Hawthorne monitor were applied to all of the FRM sites in the SLC</w:t>
      </w:r>
      <w:r>
        <w:rPr>
          <w:lang w:val="en"/>
        </w:rPr>
        <w:t xml:space="preserve"> NAA</w:t>
      </w:r>
      <w:r w:rsidRPr="0065339A">
        <w:rPr>
          <w:lang w:val="en"/>
        </w:rPr>
        <w:t xml:space="preserve">.  UDAQ believes this is a reasonable assumption that is supported by recently conducted special studies.  Further discussion may be found in the </w:t>
      </w:r>
      <w:r>
        <w:rPr>
          <w:lang w:val="en"/>
        </w:rPr>
        <w:t>TSD</w:t>
      </w:r>
      <w:r w:rsidRPr="0065339A">
        <w:rPr>
          <w:lang w:val="en"/>
        </w:rPr>
        <w:t>.</w:t>
      </w:r>
      <w:bookmarkEnd w:id="99"/>
    </w:p>
    <w:p w14:paraId="3DF18D06" w14:textId="407E675E" w:rsidR="00514877" w:rsidRDefault="00514877" w:rsidP="00514877">
      <w:r w:rsidRPr="00CF773B">
        <w:t xml:space="preserve">For each monitor, the FDV is calculated by multiplying the </w:t>
      </w:r>
      <w:r>
        <w:t>BDV</w:t>
      </w:r>
      <w:r w:rsidRPr="00CF773B">
        <w:t xml:space="preserve"> by the relative response factor: </w:t>
      </w:r>
      <w:r w:rsidRPr="00CF773B">
        <w:rPr>
          <w:b/>
        </w:rPr>
        <w:t>FDV = RRF * BDV</w:t>
      </w:r>
      <w:r w:rsidRPr="00CF773B">
        <w:t xml:space="preserve">. These FDV’s are compared to the NAAQS in order to determine whether attainment is predicted at that location or not.  The results for each of the monitors are shown below in </w:t>
      </w:r>
      <w:r w:rsidR="00D15FEC">
        <w:t>Table IX.A.36.</w:t>
      </w:r>
      <w:r w:rsidR="00CB6A24">
        <w:t>9</w:t>
      </w:r>
      <w:r w:rsidR="00D15FEC">
        <w:t>.</w:t>
      </w:r>
    </w:p>
    <w:p w14:paraId="5912D5F4" w14:textId="77777777" w:rsidR="00D15FEC" w:rsidRDefault="00D15FEC" w:rsidP="00D15FEC">
      <w:r>
        <w:t xml:space="preserve">For all projected years and monitors, no FDV exceeds the NAAQS. Therefore, continued attainment is demonstrated for the </w:t>
      </w:r>
      <w:r w:rsidRPr="00113E09">
        <w:t>SLC NAA.</w:t>
      </w:r>
    </w:p>
    <w:p w14:paraId="76BBFA84" w14:textId="2D2F2D50" w:rsidR="00D15FEC" w:rsidRDefault="00D15FEC">
      <w:pPr>
        <w:rPr>
          <w:rFonts w:ascii="Arial" w:hAnsi="Arial"/>
          <w:b/>
          <w:iCs/>
          <w:color w:val="0070C0"/>
          <w:szCs w:val="18"/>
        </w:rPr>
      </w:pPr>
      <w:r>
        <w:br w:type="page"/>
      </w:r>
    </w:p>
    <w:p w14:paraId="05EA1EE6" w14:textId="77777777" w:rsidR="00514877" w:rsidRDefault="00514877" w:rsidP="00514877">
      <w:pPr>
        <w:pStyle w:val="Caption"/>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88"/>
        <w:gridCol w:w="1890"/>
        <w:gridCol w:w="1890"/>
        <w:gridCol w:w="1792"/>
      </w:tblGrid>
      <w:tr w:rsidR="00113E09" w:rsidRPr="00113E09" w14:paraId="093D052C" w14:textId="77777777" w:rsidTr="00742AB3">
        <w:tc>
          <w:tcPr>
            <w:tcW w:w="2088" w:type="dxa"/>
            <w:shd w:val="clear" w:color="auto" w:fill="D9D9D9" w:themeFill="background1" w:themeFillShade="D9"/>
          </w:tcPr>
          <w:p w14:paraId="248683E7" w14:textId="77777777" w:rsidR="00514877" w:rsidRPr="00113E09" w:rsidRDefault="00514877" w:rsidP="006F6930">
            <w:pPr>
              <w:rPr>
                <w:rFonts w:ascii="Arial" w:hAnsi="Arial" w:cs="Arial"/>
                <w:b/>
              </w:rPr>
            </w:pPr>
            <w:r w:rsidRPr="00113E09">
              <w:rPr>
                <w:rFonts w:ascii="Arial" w:hAnsi="Arial" w:cs="Arial"/>
                <w:b/>
              </w:rPr>
              <w:t>Monitor Location</w:t>
            </w:r>
          </w:p>
        </w:tc>
        <w:tc>
          <w:tcPr>
            <w:tcW w:w="1890" w:type="dxa"/>
            <w:shd w:val="clear" w:color="auto" w:fill="D9D9D9" w:themeFill="background1" w:themeFillShade="D9"/>
          </w:tcPr>
          <w:p w14:paraId="577F08C3" w14:textId="77777777" w:rsidR="00514877" w:rsidRPr="00113E09" w:rsidRDefault="00514877" w:rsidP="006F6930">
            <w:pPr>
              <w:rPr>
                <w:rFonts w:ascii="Arial" w:hAnsi="Arial" w:cs="Arial"/>
                <w:b/>
              </w:rPr>
            </w:pPr>
            <w:r w:rsidRPr="00113E09">
              <w:rPr>
                <w:rFonts w:ascii="Arial" w:hAnsi="Arial" w:cs="Arial"/>
                <w:b/>
              </w:rPr>
              <w:t>2016-2018 BDV</w:t>
            </w:r>
          </w:p>
        </w:tc>
        <w:tc>
          <w:tcPr>
            <w:tcW w:w="1890" w:type="dxa"/>
            <w:shd w:val="clear" w:color="auto" w:fill="D9D9D9" w:themeFill="background1" w:themeFillShade="D9"/>
          </w:tcPr>
          <w:p w14:paraId="3F80047F" w14:textId="77777777" w:rsidR="00514877" w:rsidRPr="00113E09" w:rsidRDefault="00514877" w:rsidP="006F6930">
            <w:pPr>
              <w:rPr>
                <w:rFonts w:ascii="Arial" w:hAnsi="Arial" w:cs="Arial"/>
                <w:b/>
              </w:rPr>
            </w:pPr>
            <w:r w:rsidRPr="00113E09">
              <w:rPr>
                <w:rFonts w:ascii="Arial" w:hAnsi="Arial" w:cs="Arial"/>
                <w:b/>
              </w:rPr>
              <w:t>2026 FDV</w:t>
            </w:r>
          </w:p>
        </w:tc>
        <w:tc>
          <w:tcPr>
            <w:tcW w:w="1792" w:type="dxa"/>
            <w:shd w:val="clear" w:color="auto" w:fill="D9D9D9" w:themeFill="background1" w:themeFillShade="D9"/>
          </w:tcPr>
          <w:p w14:paraId="2D3945F1" w14:textId="7F1BAF15" w:rsidR="00514877" w:rsidRPr="00113E09" w:rsidRDefault="00514877" w:rsidP="006F6930">
            <w:pPr>
              <w:rPr>
                <w:rFonts w:ascii="Arial" w:hAnsi="Arial" w:cs="Arial"/>
                <w:b/>
              </w:rPr>
            </w:pPr>
            <w:r w:rsidRPr="00113E09">
              <w:rPr>
                <w:rFonts w:ascii="Arial" w:hAnsi="Arial" w:cs="Arial"/>
                <w:b/>
              </w:rPr>
              <w:t>2035 FDV</w:t>
            </w:r>
            <w:r w:rsidR="00F610FA" w:rsidRPr="00113E09">
              <w:rPr>
                <w:rFonts w:ascii="Arial" w:hAnsi="Arial" w:cs="Arial"/>
                <w:b/>
              </w:rPr>
              <w:t>*</w:t>
            </w:r>
          </w:p>
        </w:tc>
      </w:tr>
      <w:tr w:rsidR="00113E09" w:rsidRPr="00113E09" w14:paraId="2BD0EC9B" w14:textId="77777777" w:rsidTr="00742AB3">
        <w:trPr>
          <w:trHeight w:val="98"/>
        </w:trPr>
        <w:tc>
          <w:tcPr>
            <w:tcW w:w="2088" w:type="dxa"/>
          </w:tcPr>
          <w:p w14:paraId="04FC1B91" w14:textId="08E31162" w:rsidR="00514877" w:rsidRPr="00113E09" w:rsidRDefault="00873169" w:rsidP="006F6930">
            <w:pPr>
              <w:rPr>
                <w:rFonts w:ascii="Arial" w:hAnsi="Arial" w:cs="Arial"/>
              </w:rPr>
            </w:pPr>
            <w:r w:rsidRPr="00113E09">
              <w:rPr>
                <w:rFonts w:ascii="Arial" w:hAnsi="Arial" w:cs="Arial"/>
              </w:rPr>
              <w:t>Brigham City</w:t>
            </w:r>
          </w:p>
        </w:tc>
        <w:tc>
          <w:tcPr>
            <w:tcW w:w="1890" w:type="dxa"/>
          </w:tcPr>
          <w:p w14:paraId="56BA2E17" w14:textId="712D4930" w:rsidR="00514877" w:rsidRPr="00113E09" w:rsidRDefault="00873169" w:rsidP="006F6930">
            <w:pPr>
              <w:rPr>
                <w:rFonts w:ascii="Arial" w:hAnsi="Arial" w:cs="Arial"/>
              </w:rPr>
            </w:pPr>
            <w:r w:rsidRPr="00113E09">
              <w:rPr>
                <w:rFonts w:ascii="Arial" w:hAnsi="Arial" w:cs="Arial"/>
              </w:rPr>
              <w:t>32.4</w:t>
            </w:r>
          </w:p>
        </w:tc>
        <w:tc>
          <w:tcPr>
            <w:tcW w:w="1890" w:type="dxa"/>
          </w:tcPr>
          <w:p w14:paraId="3F870CD6" w14:textId="385FF339" w:rsidR="00514877" w:rsidRPr="00113E09" w:rsidRDefault="00004ACD" w:rsidP="006F6930">
            <w:pPr>
              <w:rPr>
                <w:rFonts w:ascii="Arial" w:hAnsi="Arial" w:cs="Arial"/>
              </w:rPr>
            </w:pPr>
            <w:r w:rsidRPr="00113E09">
              <w:rPr>
                <w:rFonts w:ascii="Arial" w:hAnsi="Arial" w:cs="Arial"/>
              </w:rPr>
              <w:t>27.5</w:t>
            </w:r>
          </w:p>
        </w:tc>
        <w:tc>
          <w:tcPr>
            <w:tcW w:w="1792" w:type="dxa"/>
          </w:tcPr>
          <w:p w14:paraId="3B043779" w14:textId="016E3A39" w:rsidR="00514877" w:rsidRPr="00113E09" w:rsidRDefault="00873169" w:rsidP="006F6930">
            <w:pPr>
              <w:rPr>
                <w:rFonts w:ascii="Arial" w:hAnsi="Arial" w:cs="Arial"/>
              </w:rPr>
            </w:pPr>
            <w:r w:rsidRPr="00113E09">
              <w:rPr>
                <w:rFonts w:ascii="Arial" w:hAnsi="Arial" w:cs="Arial"/>
              </w:rPr>
              <w:t>27.</w:t>
            </w:r>
            <w:r w:rsidR="00004ACD" w:rsidRPr="00113E09">
              <w:rPr>
                <w:rFonts w:ascii="Arial" w:hAnsi="Arial" w:cs="Arial"/>
              </w:rPr>
              <w:t>5</w:t>
            </w:r>
          </w:p>
        </w:tc>
      </w:tr>
      <w:tr w:rsidR="00113E09" w:rsidRPr="00113E09" w14:paraId="7762B496" w14:textId="77777777" w:rsidTr="00742AB3">
        <w:trPr>
          <w:trHeight w:val="98"/>
        </w:trPr>
        <w:tc>
          <w:tcPr>
            <w:tcW w:w="2088" w:type="dxa"/>
          </w:tcPr>
          <w:p w14:paraId="0911D360" w14:textId="5BEBFDD2" w:rsidR="00514877" w:rsidRPr="00113E09" w:rsidRDefault="00873169" w:rsidP="006F6930">
            <w:pPr>
              <w:rPr>
                <w:rFonts w:ascii="Arial" w:hAnsi="Arial" w:cs="Arial"/>
              </w:rPr>
            </w:pPr>
            <w:r w:rsidRPr="00113E09">
              <w:rPr>
                <w:rFonts w:ascii="Arial" w:hAnsi="Arial" w:cs="Arial"/>
              </w:rPr>
              <w:t>Bountiful</w:t>
            </w:r>
          </w:p>
        </w:tc>
        <w:tc>
          <w:tcPr>
            <w:tcW w:w="1890" w:type="dxa"/>
          </w:tcPr>
          <w:p w14:paraId="0BE6ADEB" w14:textId="76671536" w:rsidR="00514877" w:rsidRPr="00113E09" w:rsidRDefault="00873169" w:rsidP="006F6930">
            <w:pPr>
              <w:rPr>
                <w:rFonts w:ascii="Arial" w:hAnsi="Arial" w:cs="Arial"/>
              </w:rPr>
            </w:pPr>
            <w:r w:rsidRPr="00113E09">
              <w:rPr>
                <w:rFonts w:ascii="Arial" w:hAnsi="Arial" w:cs="Arial"/>
              </w:rPr>
              <w:t>28.5</w:t>
            </w:r>
          </w:p>
        </w:tc>
        <w:tc>
          <w:tcPr>
            <w:tcW w:w="1890" w:type="dxa"/>
          </w:tcPr>
          <w:p w14:paraId="2BAAD203" w14:textId="1E764D15" w:rsidR="00514877" w:rsidRPr="00113E09" w:rsidRDefault="00873169" w:rsidP="006F6930">
            <w:pPr>
              <w:rPr>
                <w:rFonts w:ascii="Arial" w:hAnsi="Arial" w:cs="Arial"/>
              </w:rPr>
            </w:pPr>
            <w:r w:rsidRPr="00113E09">
              <w:rPr>
                <w:rFonts w:ascii="Arial" w:hAnsi="Arial" w:cs="Arial"/>
              </w:rPr>
              <w:t>28.1</w:t>
            </w:r>
          </w:p>
        </w:tc>
        <w:tc>
          <w:tcPr>
            <w:tcW w:w="1792" w:type="dxa"/>
          </w:tcPr>
          <w:p w14:paraId="5347750F" w14:textId="424822A7" w:rsidR="00514877" w:rsidRPr="00113E09" w:rsidRDefault="00873169" w:rsidP="006F6930">
            <w:pPr>
              <w:keepNext/>
              <w:rPr>
                <w:rFonts w:ascii="Arial" w:hAnsi="Arial" w:cs="Arial"/>
              </w:rPr>
            </w:pPr>
            <w:r w:rsidRPr="00113E09">
              <w:rPr>
                <w:rFonts w:ascii="Arial" w:hAnsi="Arial" w:cs="Arial"/>
              </w:rPr>
              <w:t>28.</w:t>
            </w:r>
            <w:r w:rsidR="00BB5E06" w:rsidRPr="00113E09">
              <w:rPr>
                <w:rFonts w:ascii="Arial" w:hAnsi="Arial" w:cs="Arial"/>
              </w:rPr>
              <w:t>2</w:t>
            </w:r>
          </w:p>
        </w:tc>
      </w:tr>
      <w:tr w:rsidR="00113E09" w:rsidRPr="00113E09" w14:paraId="16D38AFC" w14:textId="77777777" w:rsidTr="00742AB3">
        <w:trPr>
          <w:trHeight w:val="98"/>
        </w:trPr>
        <w:tc>
          <w:tcPr>
            <w:tcW w:w="2088" w:type="dxa"/>
          </w:tcPr>
          <w:p w14:paraId="056AF024" w14:textId="158B0541" w:rsidR="00873169" w:rsidRPr="00113E09" w:rsidRDefault="00873169" w:rsidP="006F6930">
            <w:pPr>
              <w:rPr>
                <w:rFonts w:ascii="Arial" w:hAnsi="Arial" w:cs="Arial"/>
              </w:rPr>
            </w:pPr>
            <w:r w:rsidRPr="00113E09">
              <w:rPr>
                <w:rFonts w:ascii="Arial" w:hAnsi="Arial" w:cs="Arial"/>
              </w:rPr>
              <w:t>Hawthorne</w:t>
            </w:r>
          </w:p>
        </w:tc>
        <w:tc>
          <w:tcPr>
            <w:tcW w:w="1890" w:type="dxa"/>
          </w:tcPr>
          <w:p w14:paraId="728B3884" w14:textId="249602EB" w:rsidR="00873169" w:rsidRPr="00113E09" w:rsidRDefault="00873169" w:rsidP="006F6930">
            <w:pPr>
              <w:rPr>
                <w:rFonts w:ascii="Arial" w:hAnsi="Arial" w:cs="Arial"/>
              </w:rPr>
            </w:pPr>
            <w:r w:rsidRPr="00113E09">
              <w:rPr>
                <w:rFonts w:ascii="Arial" w:hAnsi="Arial" w:cs="Arial"/>
              </w:rPr>
              <w:t>33.4</w:t>
            </w:r>
          </w:p>
        </w:tc>
        <w:tc>
          <w:tcPr>
            <w:tcW w:w="1890" w:type="dxa"/>
          </w:tcPr>
          <w:p w14:paraId="62041CEF" w14:textId="3FDCAA8A" w:rsidR="00873169" w:rsidRPr="00113E09" w:rsidRDefault="00873169" w:rsidP="006F6930">
            <w:pPr>
              <w:rPr>
                <w:rFonts w:ascii="Arial" w:hAnsi="Arial" w:cs="Arial"/>
              </w:rPr>
            </w:pPr>
            <w:r w:rsidRPr="00113E09">
              <w:rPr>
                <w:rFonts w:ascii="Arial" w:hAnsi="Arial" w:cs="Arial"/>
              </w:rPr>
              <w:t>31.</w:t>
            </w:r>
            <w:r w:rsidR="00BB5E06" w:rsidRPr="00113E09">
              <w:rPr>
                <w:rFonts w:ascii="Arial" w:hAnsi="Arial" w:cs="Arial"/>
              </w:rPr>
              <w:t>8</w:t>
            </w:r>
          </w:p>
        </w:tc>
        <w:tc>
          <w:tcPr>
            <w:tcW w:w="1792" w:type="dxa"/>
          </w:tcPr>
          <w:p w14:paraId="52D6D5C3" w14:textId="1BB99B65" w:rsidR="00873169" w:rsidRPr="00113E09" w:rsidRDefault="00873169" w:rsidP="006F6930">
            <w:pPr>
              <w:keepNext/>
              <w:rPr>
                <w:rFonts w:ascii="Arial" w:hAnsi="Arial" w:cs="Arial"/>
              </w:rPr>
            </w:pPr>
            <w:r w:rsidRPr="00113E09">
              <w:rPr>
                <w:rFonts w:ascii="Arial" w:hAnsi="Arial" w:cs="Arial"/>
              </w:rPr>
              <w:t>32.</w:t>
            </w:r>
            <w:r w:rsidR="00860BCE" w:rsidRPr="00113E09">
              <w:rPr>
                <w:rFonts w:ascii="Arial" w:hAnsi="Arial" w:cs="Arial"/>
              </w:rPr>
              <w:t>1</w:t>
            </w:r>
          </w:p>
        </w:tc>
      </w:tr>
      <w:tr w:rsidR="00113E09" w:rsidRPr="00113E09" w14:paraId="692B427E" w14:textId="77777777" w:rsidTr="00742AB3">
        <w:trPr>
          <w:trHeight w:val="98"/>
        </w:trPr>
        <w:tc>
          <w:tcPr>
            <w:tcW w:w="2088" w:type="dxa"/>
          </w:tcPr>
          <w:p w14:paraId="3F6F6F04" w14:textId="124E4451" w:rsidR="00873169" w:rsidRPr="00113E09" w:rsidRDefault="00873169" w:rsidP="006F6930">
            <w:pPr>
              <w:rPr>
                <w:rFonts w:ascii="Arial" w:hAnsi="Arial" w:cs="Arial"/>
              </w:rPr>
            </w:pPr>
            <w:r w:rsidRPr="00113E09">
              <w:rPr>
                <w:rFonts w:ascii="Arial" w:hAnsi="Arial" w:cs="Arial"/>
              </w:rPr>
              <w:t>Rose Park</w:t>
            </w:r>
          </w:p>
        </w:tc>
        <w:tc>
          <w:tcPr>
            <w:tcW w:w="1890" w:type="dxa"/>
          </w:tcPr>
          <w:p w14:paraId="3102D1E8" w14:textId="2A74D9EE" w:rsidR="00873169" w:rsidRPr="00113E09" w:rsidRDefault="00873169" w:rsidP="006F6930">
            <w:pPr>
              <w:rPr>
                <w:rFonts w:ascii="Arial" w:hAnsi="Arial" w:cs="Arial"/>
              </w:rPr>
            </w:pPr>
            <w:r w:rsidRPr="00113E09">
              <w:rPr>
                <w:rFonts w:ascii="Arial" w:hAnsi="Arial" w:cs="Arial"/>
              </w:rPr>
              <w:t>34.9</w:t>
            </w:r>
          </w:p>
        </w:tc>
        <w:tc>
          <w:tcPr>
            <w:tcW w:w="1890" w:type="dxa"/>
          </w:tcPr>
          <w:p w14:paraId="543B88DF" w14:textId="45C32BC3" w:rsidR="00873169" w:rsidRPr="00113E09" w:rsidRDefault="00873169" w:rsidP="006F6930">
            <w:pPr>
              <w:rPr>
                <w:rFonts w:ascii="Arial" w:hAnsi="Arial" w:cs="Arial"/>
              </w:rPr>
            </w:pPr>
            <w:r w:rsidRPr="00113E09">
              <w:rPr>
                <w:rFonts w:ascii="Arial" w:hAnsi="Arial" w:cs="Arial"/>
              </w:rPr>
              <w:t>33.5</w:t>
            </w:r>
          </w:p>
        </w:tc>
        <w:tc>
          <w:tcPr>
            <w:tcW w:w="1792" w:type="dxa"/>
          </w:tcPr>
          <w:p w14:paraId="0AFEB9D1" w14:textId="5233BDE4" w:rsidR="00873169" w:rsidRPr="00113E09" w:rsidRDefault="00873169" w:rsidP="006F6930">
            <w:pPr>
              <w:keepNext/>
              <w:rPr>
                <w:rFonts w:ascii="Arial" w:hAnsi="Arial" w:cs="Arial"/>
              </w:rPr>
            </w:pPr>
            <w:r w:rsidRPr="00113E09">
              <w:rPr>
                <w:rFonts w:ascii="Arial" w:hAnsi="Arial" w:cs="Arial"/>
              </w:rPr>
              <w:t>33.</w:t>
            </w:r>
            <w:r w:rsidR="00BB5E06" w:rsidRPr="00113E09">
              <w:rPr>
                <w:rFonts w:ascii="Arial" w:hAnsi="Arial" w:cs="Arial"/>
              </w:rPr>
              <w:t>6</w:t>
            </w:r>
          </w:p>
        </w:tc>
      </w:tr>
      <w:tr w:rsidR="00113E09" w:rsidRPr="00113E09" w14:paraId="6F7B84B9" w14:textId="77777777" w:rsidTr="00742AB3">
        <w:trPr>
          <w:trHeight w:val="98"/>
        </w:trPr>
        <w:tc>
          <w:tcPr>
            <w:tcW w:w="2088" w:type="dxa"/>
          </w:tcPr>
          <w:p w14:paraId="2167498C" w14:textId="6F8C4AB6" w:rsidR="007B44F0" w:rsidRPr="00113E09" w:rsidRDefault="007B44F0" w:rsidP="006F6930">
            <w:pPr>
              <w:rPr>
                <w:rFonts w:ascii="Arial" w:hAnsi="Arial" w:cs="Arial"/>
              </w:rPr>
            </w:pPr>
            <w:r w:rsidRPr="00113E09">
              <w:rPr>
                <w:rFonts w:ascii="Arial" w:hAnsi="Arial" w:cs="Arial"/>
              </w:rPr>
              <w:t>Ogden</w:t>
            </w:r>
          </w:p>
        </w:tc>
        <w:tc>
          <w:tcPr>
            <w:tcW w:w="1890" w:type="dxa"/>
          </w:tcPr>
          <w:p w14:paraId="127D482B" w14:textId="62B14840" w:rsidR="007B44F0" w:rsidRPr="00113E09" w:rsidRDefault="007B44F0" w:rsidP="006F6930">
            <w:pPr>
              <w:rPr>
                <w:rFonts w:ascii="Arial" w:hAnsi="Arial" w:cs="Arial"/>
              </w:rPr>
            </w:pPr>
            <w:r w:rsidRPr="00113E09">
              <w:rPr>
                <w:rFonts w:ascii="Arial" w:hAnsi="Arial" w:cs="Arial"/>
              </w:rPr>
              <w:t>30.2</w:t>
            </w:r>
          </w:p>
        </w:tc>
        <w:tc>
          <w:tcPr>
            <w:tcW w:w="1890" w:type="dxa"/>
          </w:tcPr>
          <w:p w14:paraId="6B4657F6" w14:textId="356011C7" w:rsidR="007B44F0" w:rsidRPr="00113E09" w:rsidRDefault="007B44F0" w:rsidP="006F6930">
            <w:pPr>
              <w:rPr>
                <w:rFonts w:ascii="Arial" w:hAnsi="Arial" w:cs="Arial"/>
              </w:rPr>
            </w:pPr>
            <w:r w:rsidRPr="00113E09">
              <w:rPr>
                <w:rFonts w:ascii="Arial" w:hAnsi="Arial" w:cs="Arial"/>
              </w:rPr>
              <w:t>28.</w:t>
            </w:r>
            <w:r w:rsidR="00BB5E06" w:rsidRPr="00113E09">
              <w:rPr>
                <w:rFonts w:ascii="Arial" w:hAnsi="Arial" w:cs="Arial"/>
              </w:rPr>
              <w:t>8</w:t>
            </w:r>
          </w:p>
        </w:tc>
        <w:tc>
          <w:tcPr>
            <w:tcW w:w="1792" w:type="dxa"/>
          </w:tcPr>
          <w:p w14:paraId="04A95701" w14:textId="51DE4CFD" w:rsidR="007B44F0" w:rsidRPr="00113E09" w:rsidRDefault="007B44F0" w:rsidP="006F6930">
            <w:pPr>
              <w:keepNext/>
              <w:rPr>
                <w:rFonts w:ascii="Arial" w:hAnsi="Arial" w:cs="Arial"/>
              </w:rPr>
            </w:pPr>
            <w:r w:rsidRPr="00113E09">
              <w:rPr>
                <w:rFonts w:ascii="Arial" w:hAnsi="Arial" w:cs="Arial"/>
              </w:rPr>
              <w:t>28.</w:t>
            </w:r>
            <w:r w:rsidR="00BB5E06" w:rsidRPr="00113E09">
              <w:rPr>
                <w:rFonts w:ascii="Arial" w:hAnsi="Arial" w:cs="Arial"/>
              </w:rPr>
              <w:t>9</w:t>
            </w:r>
          </w:p>
        </w:tc>
      </w:tr>
      <w:tr w:rsidR="00113E09" w:rsidRPr="00113E09" w14:paraId="497155FE" w14:textId="77777777" w:rsidTr="00742AB3">
        <w:trPr>
          <w:trHeight w:val="98"/>
        </w:trPr>
        <w:tc>
          <w:tcPr>
            <w:tcW w:w="2088" w:type="dxa"/>
          </w:tcPr>
          <w:p w14:paraId="3A83A733" w14:textId="6B86E756" w:rsidR="007B44F0" w:rsidRPr="00113E09" w:rsidRDefault="007B44F0" w:rsidP="006F6930">
            <w:pPr>
              <w:rPr>
                <w:rFonts w:ascii="Arial" w:hAnsi="Arial" w:cs="Arial"/>
              </w:rPr>
            </w:pPr>
            <w:r w:rsidRPr="00113E09">
              <w:rPr>
                <w:rFonts w:ascii="Arial" w:hAnsi="Arial" w:cs="Arial"/>
              </w:rPr>
              <w:t>Erda</w:t>
            </w:r>
            <w:r w:rsidR="00BB5E06" w:rsidRPr="00113E09">
              <w:rPr>
                <w:rFonts w:ascii="Arial" w:hAnsi="Arial" w:cs="Arial"/>
              </w:rPr>
              <w:t>**</w:t>
            </w:r>
          </w:p>
        </w:tc>
        <w:tc>
          <w:tcPr>
            <w:tcW w:w="1890" w:type="dxa"/>
          </w:tcPr>
          <w:p w14:paraId="67B22DA3" w14:textId="77684305" w:rsidR="007B44F0" w:rsidRPr="00113E09" w:rsidRDefault="007B44F0" w:rsidP="006F6930">
            <w:pPr>
              <w:rPr>
                <w:rFonts w:ascii="Arial" w:hAnsi="Arial" w:cs="Arial"/>
              </w:rPr>
            </w:pPr>
            <w:r w:rsidRPr="00113E09">
              <w:rPr>
                <w:rFonts w:ascii="Arial" w:hAnsi="Arial" w:cs="Arial"/>
              </w:rPr>
              <w:t>25.5</w:t>
            </w:r>
          </w:p>
        </w:tc>
        <w:tc>
          <w:tcPr>
            <w:tcW w:w="1890" w:type="dxa"/>
          </w:tcPr>
          <w:p w14:paraId="398DA573" w14:textId="179C0BC1" w:rsidR="007B44F0" w:rsidRPr="00113E09" w:rsidRDefault="007B44F0" w:rsidP="006F6930">
            <w:pPr>
              <w:rPr>
                <w:rFonts w:ascii="Arial" w:hAnsi="Arial" w:cs="Arial"/>
              </w:rPr>
            </w:pPr>
            <w:r w:rsidRPr="00113E09">
              <w:rPr>
                <w:rFonts w:ascii="Arial" w:hAnsi="Arial" w:cs="Arial"/>
              </w:rPr>
              <w:t>23.</w:t>
            </w:r>
            <w:r w:rsidR="00860BCE" w:rsidRPr="00113E09">
              <w:rPr>
                <w:rFonts w:ascii="Arial" w:hAnsi="Arial" w:cs="Arial"/>
              </w:rPr>
              <w:t>0</w:t>
            </w:r>
          </w:p>
        </w:tc>
        <w:tc>
          <w:tcPr>
            <w:tcW w:w="1792" w:type="dxa"/>
          </w:tcPr>
          <w:p w14:paraId="0A110173" w14:textId="3139CEAA" w:rsidR="007B44F0" w:rsidRPr="00113E09" w:rsidRDefault="007B44F0" w:rsidP="00992420">
            <w:pPr>
              <w:keepNext/>
              <w:rPr>
                <w:rFonts w:ascii="Arial" w:hAnsi="Arial" w:cs="Arial"/>
              </w:rPr>
            </w:pPr>
            <w:r w:rsidRPr="00113E09">
              <w:rPr>
                <w:rFonts w:ascii="Arial" w:hAnsi="Arial" w:cs="Arial"/>
              </w:rPr>
              <w:t>23.</w:t>
            </w:r>
            <w:r w:rsidR="00BB5E06" w:rsidRPr="00113E09">
              <w:rPr>
                <w:rFonts w:ascii="Arial" w:hAnsi="Arial" w:cs="Arial"/>
              </w:rPr>
              <w:t>1</w:t>
            </w:r>
          </w:p>
        </w:tc>
      </w:tr>
    </w:tbl>
    <w:p w14:paraId="70C087F2" w14:textId="3F7E9BE8" w:rsidR="00992420" w:rsidRPr="00113E09" w:rsidRDefault="00992420" w:rsidP="00992420">
      <w:pPr>
        <w:pStyle w:val="Caption"/>
        <w:rPr>
          <w:color w:val="auto"/>
        </w:rPr>
      </w:pPr>
      <w:bookmarkStart w:id="100" w:name="_Toc17268999"/>
      <w:bookmarkStart w:id="101" w:name="_Toc16162941"/>
      <w:bookmarkStart w:id="102" w:name="_Toc15906995"/>
      <w:bookmarkStart w:id="103" w:name="_Toc16156406"/>
      <w:r w:rsidRPr="00113E09">
        <w:rPr>
          <w:color w:val="auto"/>
        </w:rPr>
        <w:t xml:space="preserve">Table IX.A.36. </w:t>
      </w:r>
      <w:r w:rsidR="00767843" w:rsidRPr="00113E09">
        <w:rPr>
          <w:color w:val="auto"/>
        </w:rPr>
        <w:fldChar w:fldCharType="begin"/>
      </w:r>
      <w:r w:rsidR="00767843" w:rsidRPr="00113E09">
        <w:rPr>
          <w:color w:val="auto"/>
        </w:rPr>
        <w:instrText xml:space="preserve"> SEQ Table_IX.A.36. \* ARABIC </w:instrText>
      </w:r>
      <w:r w:rsidR="00767843" w:rsidRPr="00113E09">
        <w:rPr>
          <w:color w:val="auto"/>
        </w:rPr>
        <w:fldChar w:fldCharType="separate"/>
      </w:r>
      <w:r w:rsidR="00767843">
        <w:rPr>
          <w:noProof/>
          <w:color w:val="auto"/>
        </w:rPr>
        <w:t>9</w:t>
      </w:r>
      <w:r w:rsidR="00767843" w:rsidRPr="00113E09">
        <w:rPr>
          <w:noProof/>
          <w:color w:val="auto"/>
        </w:rPr>
        <w:fldChar w:fldCharType="end"/>
      </w:r>
      <w:r w:rsidR="00D15FEC" w:rsidRPr="00113E09">
        <w:rPr>
          <w:noProof/>
          <w:color w:val="auto"/>
        </w:rPr>
        <w:t xml:space="preserve"> </w:t>
      </w:r>
      <w:r w:rsidRPr="00113E09">
        <w:rPr>
          <w:color w:val="auto"/>
        </w:rPr>
        <w:t xml:space="preserve"> Baseline and Future Design Values (</w:t>
      </w:r>
      <w:r w:rsidR="00792B38" w:rsidRPr="00113E09">
        <w:rPr>
          <w:color w:val="auto"/>
        </w:rPr>
        <w:t>µ</w:t>
      </w:r>
      <w:r w:rsidRPr="00113E09">
        <w:rPr>
          <w:color w:val="auto"/>
        </w:rPr>
        <w:t>g/m</w:t>
      </w:r>
      <w:r w:rsidRPr="00113E09">
        <w:rPr>
          <w:color w:val="auto"/>
          <w:vertAlign w:val="superscript"/>
        </w:rPr>
        <w:t>3</w:t>
      </w:r>
      <w:r w:rsidRPr="00113E09">
        <w:rPr>
          <w:color w:val="auto"/>
        </w:rPr>
        <w:t>) at Monitors in SLC NAA</w:t>
      </w:r>
      <w:bookmarkEnd w:id="100"/>
    </w:p>
    <w:p w14:paraId="64FC682C" w14:textId="0B0CEBF7" w:rsidR="00D6151F" w:rsidRDefault="00D6151F" w:rsidP="005616C4">
      <w:pPr>
        <w:spacing w:after="0"/>
      </w:pPr>
      <w:r>
        <w:t>*Th</w:t>
      </w:r>
      <w:r w:rsidR="00F610FA">
        <w:t>ese</w:t>
      </w:r>
      <w:r>
        <w:t xml:space="preserve"> value</w:t>
      </w:r>
      <w:r w:rsidR="002614CE">
        <w:t>s</w:t>
      </w:r>
      <w:r>
        <w:t xml:space="preserve"> include additional emissions </w:t>
      </w:r>
      <w:r w:rsidR="005C6E06">
        <w:t xml:space="preserve">added to the WFRC MVEB </w:t>
      </w:r>
      <w:r>
        <w:t xml:space="preserve">from </w:t>
      </w:r>
      <w:r w:rsidR="005C6E06">
        <w:t xml:space="preserve">the </w:t>
      </w:r>
      <w:r>
        <w:t>safety margin</w:t>
      </w:r>
    </w:p>
    <w:p w14:paraId="09C506C6" w14:textId="027CA962" w:rsidR="005616C4" w:rsidRPr="00D6151F" w:rsidRDefault="005616C4" w:rsidP="00D6151F">
      <w:r>
        <w:t xml:space="preserve">**Erda site uses 2016 speciation data instead of 2011 like the other SLC NAA monitors because Erda was a new site starting in 2016 </w:t>
      </w:r>
    </w:p>
    <w:p w14:paraId="29964D5C" w14:textId="6F57462F" w:rsidR="004C1422" w:rsidRPr="00306BC8" w:rsidRDefault="004C1422" w:rsidP="00306BC8">
      <w:pPr>
        <w:pStyle w:val="Heading2"/>
      </w:pPr>
      <w:bookmarkStart w:id="104" w:name="_Toc17268978"/>
      <w:bookmarkEnd w:id="101"/>
      <w:bookmarkEnd w:id="102"/>
      <w:bookmarkEnd w:id="103"/>
      <w:r w:rsidRPr="00306BC8">
        <w:t>(2) Attainment Inventory</w:t>
      </w:r>
      <w:bookmarkEnd w:id="104"/>
      <w:r w:rsidRPr="00306BC8">
        <w:t xml:space="preserve"> </w:t>
      </w:r>
    </w:p>
    <w:p w14:paraId="062295D2" w14:textId="77777777" w:rsidR="00182835" w:rsidRPr="00DF0F4F" w:rsidRDefault="00182835" w:rsidP="00E875DA">
      <w:r w:rsidRPr="00DF0F4F">
        <w:t>The attainment inventory is dis</w:t>
      </w:r>
      <w:r w:rsidR="00083F27">
        <w:t>cussed in EPA guidance</w:t>
      </w:r>
      <w:r w:rsidR="00083F27">
        <w:rPr>
          <w:rStyle w:val="FootnoteReference"/>
        </w:rPr>
        <w:footnoteReference w:id="29"/>
      </w:r>
      <w:r w:rsidRPr="00DF0F4F">
        <w:t xml:space="preserve"> as another one of the core provisions that should be considered by states for inclusion in a maintenance plan.</w:t>
      </w:r>
      <w:r>
        <w:t xml:space="preserve"> </w:t>
      </w:r>
      <w:r w:rsidR="00083F27">
        <w:t>According to the guidance</w:t>
      </w:r>
      <w:r w:rsidRPr="00DF0F4F">
        <w:t>, the stated purpose of the attainment inventory is to establish the level of emissions during the time periods associated with monitoring data showing attainment.</w:t>
      </w:r>
    </w:p>
    <w:p w14:paraId="77DA5321" w14:textId="107A0313" w:rsidR="00182835" w:rsidRPr="00DF0F4F" w:rsidRDefault="00182835" w:rsidP="00E875DA">
      <w:pPr>
        <w:rPr>
          <w:rFonts w:eastAsia="Times New Roman" w:cs="Times New Roman"/>
        </w:rPr>
      </w:pPr>
      <w:r w:rsidRPr="00DF0F4F">
        <w:rPr>
          <w:rFonts w:eastAsia="Times New Roman" w:cs="Times New Roman"/>
        </w:rPr>
        <w:t xml:space="preserve">In cases such as this, where a maintenance demonstration is founded on a modeling analysis that is used in a relative sense, the </w:t>
      </w:r>
      <w:r>
        <w:rPr>
          <w:rFonts w:eastAsia="Times New Roman" w:cs="Times New Roman"/>
        </w:rPr>
        <w:t xml:space="preserve">modeled </w:t>
      </w:r>
      <w:r w:rsidRPr="00DF0F4F">
        <w:rPr>
          <w:rFonts w:eastAsia="Times New Roman" w:cs="Times New Roman"/>
        </w:rPr>
        <w:t xml:space="preserve">baseline inventory </w:t>
      </w:r>
      <w:r>
        <w:rPr>
          <w:rFonts w:eastAsia="Times New Roman" w:cs="Times New Roman"/>
        </w:rPr>
        <w:t>is used</w:t>
      </w:r>
      <w:r w:rsidRPr="00DF0F4F">
        <w:rPr>
          <w:rFonts w:eastAsia="Times New Roman" w:cs="Times New Roman"/>
        </w:rPr>
        <w:t xml:space="preserve"> for comparison with</w:t>
      </w:r>
      <w:r>
        <w:rPr>
          <w:rFonts w:eastAsia="Times New Roman" w:cs="Times New Roman"/>
        </w:rPr>
        <w:t xml:space="preserve"> every projection year model run</w:t>
      </w:r>
      <w:r w:rsidRPr="00DF0F4F">
        <w:rPr>
          <w:rFonts w:eastAsia="Times New Roman" w:cs="Times New Roman"/>
        </w:rPr>
        <w:t>.</w:t>
      </w:r>
      <w:r>
        <w:rPr>
          <w:rFonts w:eastAsia="Times New Roman" w:cs="Times New Roman"/>
        </w:rPr>
        <w:t xml:space="preserve"> </w:t>
      </w:r>
      <w:r w:rsidRPr="00DF0F4F">
        <w:rPr>
          <w:rFonts w:eastAsia="Times New Roman" w:cs="Times New Roman"/>
        </w:rPr>
        <w:t xml:space="preserve">For this analysis, </w:t>
      </w:r>
      <w:r w:rsidR="00DC4703">
        <w:rPr>
          <w:rFonts w:eastAsia="Times New Roman" w:cs="Times New Roman"/>
        </w:rPr>
        <w:t>the State compiled a</w:t>
      </w:r>
      <w:r w:rsidR="00DC4703" w:rsidRPr="00DF0F4F">
        <w:rPr>
          <w:rFonts w:eastAsia="Times New Roman" w:cs="Times New Roman"/>
        </w:rPr>
        <w:t xml:space="preserve"> </w:t>
      </w:r>
      <w:r w:rsidRPr="00DF0F4F">
        <w:rPr>
          <w:rFonts w:eastAsia="Times New Roman" w:cs="Times New Roman"/>
        </w:rPr>
        <w:t>base</w:t>
      </w:r>
      <w:r w:rsidR="001A72D1">
        <w:rPr>
          <w:rFonts w:eastAsia="Times New Roman" w:cs="Times New Roman"/>
        </w:rPr>
        <w:t>year</w:t>
      </w:r>
      <w:r w:rsidRPr="00DF0F4F">
        <w:rPr>
          <w:rFonts w:eastAsia="Times New Roman" w:cs="Times New Roman"/>
        </w:rPr>
        <w:t xml:space="preserve"> inventory </w:t>
      </w:r>
      <w:r>
        <w:rPr>
          <w:rFonts w:eastAsia="Times New Roman" w:cs="Times New Roman"/>
        </w:rPr>
        <w:t xml:space="preserve">for the year 2017. </w:t>
      </w:r>
      <w:r w:rsidRPr="00DF0F4F">
        <w:rPr>
          <w:rFonts w:eastAsia="Times New Roman" w:cs="Times New Roman"/>
        </w:rPr>
        <w:t>This year falls within the span of data representing current attainment of the PM</w:t>
      </w:r>
      <w:r>
        <w:rPr>
          <w:rFonts w:eastAsia="Times New Roman" w:cs="Times New Roman"/>
          <w:vertAlign w:val="subscript"/>
        </w:rPr>
        <w:t>2.5</w:t>
      </w:r>
      <w:r w:rsidR="003C6A8D">
        <w:rPr>
          <w:rFonts w:eastAsia="Times New Roman" w:cs="Times New Roman"/>
        </w:rPr>
        <w:t xml:space="preserve"> NAAQS. The guidance</w:t>
      </w:r>
      <w:r w:rsidRPr="00DF0F4F">
        <w:rPr>
          <w:rFonts w:eastAsia="Times New Roman" w:cs="Times New Roman"/>
        </w:rPr>
        <w:t xml:space="preserve"> </w:t>
      </w:r>
      <w:r w:rsidR="00DC4703">
        <w:rPr>
          <w:rFonts w:eastAsia="Times New Roman" w:cs="Times New Roman"/>
        </w:rPr>
        <w:t>discusses</w:t>
      </w:r>
      <w:r w:rsidR="001D62A6">
        <w:rPr>
          <w:rFonts w:eastAsia="Times New Roman" w:cs="Times New Roman"/>
        </w:rPr>
        <w:t xml:space="preserve"> the projection inventories</w:t>
      </w:r>
      <w:r w:rsidRPr="00DF0F4F">
        <w:rPr>
          <w:rFonts w:eastAsia="Times New Roman" w:cs="Times New Roman"/>
        </w:rPr>
        <w:t xml:space="preserve"> as well, and notes that </w:t>
      </w:r>
      <w:r w:rsidR="001A72D1">
        <w:rPr>
          <w:rFonts w:eastAsia="Times New Roman" w:cs="Times New Roman"/>
        </w:rPr>
        <w:t>they</w:t>
      </w:r>
      <w:r w:rsidRPr="00DF0F4F">
        <w:rPr>
          <w:rFonts w:eastAsia="Times New Roman" w:cs="Times New Roman"/>
        </w:rPr>
        <w:t xml:space="preserve"> should consider future growth, including population and industry, sho</w:t>
      </w:r>
      <w:r>
        <w:rPr>
          <w:rFonts w:eastAsia="Times New Roman" w:cs="Times New Roman"/>
        </w:rPr>
        <w:t>uld be consistent with the base</w:t>
      </w:r>
      <w:r w:rsidRPr="00DF0F4F">
        <w:rPr>
          <w:rFonts w:eastAsia="Times New Roman" w:cs="Times New Roman"/>
        </w:rPr>
        <w:t>year inventory, and should docume</w:t>
      </w:r>
      <w:r>
        <w:rPr>
          <w:rFonts w:eastAsia="Times New Roman" w:cs="Times New Roman"/>
        </w:rPr>
        <w:t>nt data inputs and assumptions.</w:t>
      </w:r>
      <w:r w:rsidRPr="00DF0F4F">
        <w:rPr>
          <w:rFonts w:eastAsia="Times New Roman" w:cs="Times New Roman"/>
        </w:rPr>
        <w:t xml:space="preserve"> Any assumptions concerning emission rates must reflect permanent, enforceable measures.</w:t>
      </w:r>
    </w:p>
    <w:p w14:paraId="0DB421E3" w14:textId="7DFE28D3" w:rsidR="00182835" w:rsidRPr="00DF0F4F" w:rsidRDefault="00182835" w:rsidP="00E875DA">
      <w:pPr>
        <w:rPr>
          <w:rFonts w:eastAsia="Times New Roman" w:cs="Times New Roman"/>
        </w:rPr>
      </w:pPr>
      <w:r w:rsidRPr="00DF0F4F">
        <w:rPr>
          <w:rFonts w:eastAsia="Times New Roman" w:cs="Times New Roman"/>
        </w:rPr>
        <w:t>Utah compiled projection inventories for use in the quanti</w:t>
      </w:r>
      <w:r>
        <w:rPr>
          <w:rFonts w:eastAsia="Times New Roman" w:cs="Times New Roman"/>
        </w:rPr>
        <w:t xml:space="preserve">tative modeling demonstration. </w:t>
      </w:r>
      <w:r w:rsidRPr="00DF0F4F">
        <w:rPr>
          <w:rFonts w:eastAsia="Times New Roman" w:cs="Times New Roman"/>
        </w:rPr>
        <w:t>The years selected for projectio</w:t>
      </w:r>
      <w:r>
        <w:rPr>
          <w:rFonts w:eastAsia="Times New Roman" w:cs="Times New Roman"/>
        </w:rPr>
        <w:t xml:space="preserve">n include 2026 and 2035. </w:t>
      </w:r>
      <w:r w:rsidRPr="007518A7">
        <w:rPr>
          <w:rFonts w:eastAsia="Times New Roman" w:cs="Times New Roman"/>
        </w:rPr>
        <w:t xml:space="preserve">The emissions contained in the inventories include sources located within the modeling domain </w:t>
      </w:r>
      <w:r w:rsidR="00D15FEC" w:rsidRPr="007518A7">
        <w:rPr>
          <w:rFonts w:eastAsia="Times New Roman" w:cs="Times New Roman"/>
        </w:rPr>
        <w:t>encompass</w:t>
      </w:r>
      <w:r w:rsidR="00D15FEC">
        <w:rPr>
          <w:rFonts w:eastAsia="Times New Roman" w:cs="Times New Roman"/>
        </w:rPr>
        <w:t>ing</w:t>
      </w:r>
      <w:r w:rsidR="00D15FEC" w:rsidRPr="007518A7">
        <w:rPr>
          <w:rFonts w:eastAsia="Times New Roman" w:cs="Times New Roman"/>
        </w:rPr>
        <w:t xml:space="preserve"> </w:t>
      </w:r>
      <w:r w:rsidRPr="007518A7">
        <w:rPr>
          <w:rFonts w:eastAsia="Times New Roman" w:cs="Times New Roman"/>
        </w:rPr>
        <w:t xml:space="preserve">all three </w:t>
      </w:r>
      <w:r w:rsidR="001D62A6" w:rsidRPr="007518A7">
        <w:rPr>
          <w:rFonts w:eastAsia="Times New Roman" w:cs="Times New Roman"/>
        </w:rPr>
        <w:t>PM</w:t>
      </w:r>
      <w:r w:rsidR="001D62A6" w:rsidRPr="007518A7">
        <w:rPr>
          <w:rFonts w:eastAsia="Times New Roman" w:cs="Times New Roman"/>
          <w:vertAlign w:val="subscript"/>
        </w:rPr>
        <w:t>2.5</w:t>
      </w:r>
      <w:r w:rsidRPr="007518A7">
        <w:rPr>
          <w:rFonts w:eastAsia="Times New Roman" w:cs="Times New Roman"/>
        </w:rPr>
        <w:t xml:space="preserve"> nonattainment areas</w:t>
      </w:r>
      <w:r w:rsidR="00D15FEC">
        <w:rPr>
          <w:rFonts w:eastAsia="Times New Roman" w:cs="Times New Roman"/>
        </w:rPr>
        <w:t>,</w:t>
      </w:r>
      <w:r w:rsidRPr="007518A7">
        <w:rPr>
          <w:rFonts w:eastAsia="Times New Roman" w:cs="Times New Roman"/>
        </w:rPr>
        <w:t xml:space="preserve"> as well as a bordering region</w:t>
      </w:r>
      <w:r w:rsidR="00DC4703" w:rsidRPr="007518A7">
        <w:rPr>
          <w:rFonts w:eastAsia="Times New Roman" w:cs="Times New Roman"/>
        </w:rPr>
        <w:t>. S</w:t>
      </w:r>
      <w:r w:rsidRPr="007518A7">
        <w:rPr>
          <w:rFonts w:eastAsia="Times New Roman" w:cs="Times New Roman"/>
        </w:rPr>
        <w:t xml:space="preserve">ee </w:t>
      </w:r>
      <w:r w:rsidRPr="00113E09">
        <w:rPr>
          <w:rFonts w:eastAsia="Times New Roman" w:cs="Times New Roman"/>
        </w:rPr>
        <w:t>Figure IX.A.</w:t>
      </w:r>
      <w:r w:rsidR="001D62A6" w:rsidRPr="00113E09">
        <w:rPr>
          <w:rFonts w:eastAsia="Times New Roman" w:cs="Times New Roman"/>
          <w:bCs/>
          <w:szCs w:val="20"/>
        </w:rPr>
        <w:t>36</w:t>
      </w:r>
      <w:r w:rsidR="001D62A6" w:rsidRPr="00113E09">
        <w:rPr>
          <w:rFonts w:eastAsia="Times New Roman" w:cs="Times New Roman"/>
        </w:rPr>
        <w:t>.</w:t>
      </w:r>
      <w:r w:rsidR="007518A7" w:rsidRPr="00113E09">
        <w:rPr>
          <w:rFonts w:eastAsia="Times New Roman" w:cs="Times New Roman"/>
        </w:rPr>
        <w:t>3</w:t>
      </w:r>
      <w:r w:rsidRPr="00113E09">
        <w:rPr>
          <w:rFonts w:eastAsia="Times New Roman" w:cs="Times New Roman"/>
        </w:rPr>
        <w:t>.</w:t>
      </w:r>
    </w:p>
    <w:p w14:paraId="5284AF8C" w14:textId="1A7123A3" w:rsidR="00182835" w:rsidRPr="00903A57" w:rsidRDefault="00182835" w:rsidP="00E875DA">
      <w:pPr>
        <w:rPr>
          <w:rFonts w:eastAsia="Times New Roman" w:cs="Times New Roman"/>
        </w:rPr>
      </w:pPr>
      <w:r w:rsidRPr="00903A57">
        <w:rPr>
          <w:rFonts w:eastAsia="Times New Roman" w:cs="Times New Roman"/>
        </w:rPr>
        <w:t>Since this bordering region is so large</w:t>
      </w:r>
      <w:r w:rsidR="00013734">
        <w:rPr>
          <w:rFonts w:eastAsia="Times New Roman" w:cs="Times New Roman"/>
        </w:rPr>
        <w:t>,</w:t>
      </w:r>
      <w:r w:rsidRPr="00903A57">
        <w:rPr>
          <w:rFonts w:eastAsia="Times New Roman" w:cs="Times New Roman"/>
        </w:rPr>
        <w:t xml:space="preserve"> </w:t>
      </w:r>
      <w:r w:rsidR="00013734">
        <w:rPr>
          <w:rFonts w:eastAsia="Times New Roman" w:cs="Times New Roman"/>
        </w:rPr>
        <w:t xml:space="preserve">the State identified </w:t>
      </w:r>
      <w:r w:rsidRPr="00903A57">
        <w:rPr>
          <w:rFonts w:eastAsia="Times New Roman" w:cs="Times New Roman"/>
        </w:rPr>
        <w:t>a “core area” within this domain wherein a higher degree of accuracy is important.  Within this core area (which includes Weber, Davis, Salt Lake, Utah, Box Elder, Tooele, Cache</w:t>
      </w:r>
      <w:r w:rsidR="0067319C">
        <w:rPr>
          <w:rFonts w:eastAsia="Times New Roman" w:cs="Times New Roman"/>
        </w:rPr>
        <w:t>,</w:t>
      </w:r>
      <w:r w:rsidRPr="00903A57">
        <w:rPr>
          <w:rFonts w:eastAsia="Times New Roman" w:cs="Times New Roman"/>
        </w:rPr>
        <w:t xml:space="preserve"> and Franklin, </w:t>
      </w:r>
      <w:r w:rsidR="005470D6">
        <w:rPr>
          <w:rFonts w:eastAsia="Times New Roman" w:cs="Times New Roman"/>
        </w:rPr>
        <w:t>ID</w:t>
      </w:r>
      <w:r w:rsidRPr="00903A57">
        <w:rPr>
          <w:rFonts w:eastAsia="Times New Roman" w:cs="Times New Roman"/>
        </w:rPr>
        <w:t xml:space="preserve"> counties), SIP-specific inventories were prepared to include seasonal adjustments and forecasting to represent each of the projection years. In the bordering regions away from this core, the </w:t>
      </w:r>
      <w:r w:rsidR="00013734">
        <w:rPr>
          <w:rFonts w:eastAsia="Times New Roman" w:cs="Times New Roman"/>
        </w:rPr>
        <w:t xml:space="preserve">State used the </w:t>
      </w:r>
      <w:r w:rsidR="005470D6">
        <w:rPr>
          <w:rFonts w:eastAsia="Times New Roman" w:cs="Times New Roman"/>
        </w:rPr>
        <w:t>most current (2014)</w:t>
      </w:r>
      <w:r w:rsidRPr="00E72BD7">
        <w:rPr>
          <w:rFonts w:eastAsia="Times New Roman" w:cs="Times New Roman"/>
        </w:rPr>
        <w:t xml:space="preserve"> National </w:t>
      </w:r>
      <w:r w:rsidRPr="00903A57">
        <w:rPr>
          <w:rFonts w:eastAsia="Times New Roman" w:cs="Times New Roman"/>
        </w:rPr>
        <w:t xml:space="preserve">Emissions Inventory </w:t>
      </w:r>
      <w:r w:rsidR="00013734">
        <w:rPr>
          <w:rFonts w:eastAsia="Times New Roman" w:cs="Times New Roman"/>
        </w:rPr>
        <w:t>from</w:t>
      </w:r>
      <w:r w:rsidRPr="00903A57">
        <w:rPr>
          <w:rFonts w:eastAsia="Times New Roman" w:cs="Times New Roman"/>
        </w:rPr>
        <w:t xml:space="preserve"> EPA for </w:t>
      </w:r>
      <w:r w:rsidR="00013734">
        <w:rPr>
          <w:rFonts w:eastAsia="Times New Roman" w:cs="Times New Roman"/>
        </w:rPr>
        <w:t xml:space="preserve">the </w:t>
      </w:r>
      <w:r w:rsidRPr="00903A57">
        <w:rPr>
          <w:rFonts w:eastAsia="Times New Roman" w:cs="Times New Roman"/>
        </w:rPr>
        <w:t xml:space="preserve">analysis.  </w:t>
      </w:r>
    </w:p>
    <w:p w14:paraId="474F5C89" w14:textId="2083F8F5" w:rsidR="00182835" w:rsidRPr="00DF0F4F" w:rsidRDefault="00182835" w:rsidP="00E875DA">
      <w:pPr>
        <w:rPr>
          <w:rFonts w:eastAsia="Times New Roman" w:cs="Times New Roman"/>
        </w:rPr>
      </w:pPr>
      <w:r w:rsidRPr="00903A57">
        <w:rPr>
          <w:rFonts w:eastAsia="Times New Roman" w:cs="Times New Roman"/>
        </w:rPr>
        <w:t xml:space="preserve">There are four </w:t>
      </w:r>
      <w:r w:rsidRPr="00DF0F4F">
        <w:rPr>
          <w:rFonts w:eastAsia="Times New Roman" w:cs="Times New Roman"/>
        </w:rPr>
        <w:t xml:space="preserve">general categories of sources included in these inventories: </w:t>
      </w:r>
      <w:r>
        <w:rPr>
          <w:rFonts w:eastAsia="Times New Roman" w:cs="Times New Roman"/>
        </w:rPr>
        <w:t>point sources</w:t>
      </w:r>
      <w:r w:rsidRPr="00DF0F4F">
        <w:rPr>
          <w:rFonts w:eastAsia="Times New Roman" w:cs="Times New Roman"/>
        </w:rPr>
        <w:t xml:space="preserve">, area sources, on-road mobile sources, and </w:t>
      </w:r>
      <w:r>
        <w:rPr>
          <w:rFonts w:eastAsia="Times New Roman" w:cs="Times New Roman"/>
        </w:rPr>
        <w:t>non</w:t>
      </w:r>
      <w:r w:rsidRPr="00DF0F4F">
        <w:rPr>
          <w:rFonts w:eastAsia="Times New Roman" w:cs="Times New Roman"/>
        </w:rPr>
        <w:t>-road mobile sources.</w:t>
      </w:r>
      <w:r>
        <w:rPr>
          <w:rFonts w:eastAsia="Times New Roman" w:cs="Times New Roman"/>
        </w:rPr>
        <w:t xml:space="preserve"> </w:t>
      </w:r>
      <w:r w:rsidRPr="00DF0F4F">
        <w:rPr>
          <w:rFonts w:eastAsia="Times New Roman" w:cs="Times New Roman"/>
        </w:rPr>
        <w:t>For each of these source categories, the pollutants that were inventoried include</w:t>
      </w:r>
      <w:r w:rsidR="00BB309E">
        <w:rPr>
          <w:rFonts w:eastAsia="Times New Roman" w:cs="Times New Roman"/>
        </w:rPr>
        <w:t>s</w:t>
      </w:r>
      <w:r w:rsidRPr="00DF0F4F">
        <w:rPr>
          <w:rFonts w:eastAsia="Times New Roman" w:cs="Times New Roman"/>
        </w:rPr>
        <w:t>: PM</w:t>
      </w:r>
      <w:r>
        <w:rPr>
          <w:rFonts w:eastAsia="Times New Roman" w:cs="Times New Roman"/>
          <w:vertAlign w:val="subscript"/>
        </w:rPr>
        <w:t>2.5</w:t>
      </w:r>
      <w:r w:rsidRPr="00DF0F4F">
        <w:rPr>
          <w:rFonts w:eastAsia="Times New Roman" w:cs="Times New Roman"/>
        </w:rPr>
        <w:t>, SO</w:t>
      </w:r>
      <w:r w:rsidRPr="00DF0F4F">
        <w:rPr>
          <w:rFonts w:eastAsia="Times New Roman" w:cs="Times New Roman"/>
          <w:vertAlign w:val="subscript"/>
        </w:rPr>
        <w:t>2</w:t>
      </w:r>
      <w:r w:rsidRPr="00DF0F4F">
        <w:rPr>
          <w:rFonts w:eastAsia="Times New Roman" w:cs="Times New Roman"/>
        </w:rPr>
        <w:t>, NO</w:t>
      </w:r>
      <w:r w:rsidRPr="00953EA1">
        <w:rPr>
          <w:rFonts w:eastAsia="Times New Roman" w:cs="Times New Roman"/>
          <w:vertAlign w:val="subscript"/>
        </w:rPr>
        <w:t>X</w:t>
      </w:r>
      <w:r w:rsidRPr="00DF0F4F">
        <w:rPr>
          <w:rFonts w:eastAsia="Times New Roman" w:cs="Times New Roman"/>
        </w:rPr>
        <w:t xml:space="preserve">, VOC, and </w:t>
      </w:r>
      <w:r>
        <w:rPr>
          <w:rFonts w:eastAsia="Times New Roman" w:cs="Times New Roman"/>
        </w:rPr>
        <w:t>NH</w:t>
      </w:r>
      <w:r w:rsidRPr="009C50C2">
        <w:rPr>
          <w:rFonts w:eastAsia="Times New Roman" w:cs="Times New Roman"/>
          <w:vertAlign w:val="subscript"/>
        </w:rPr>
        <w:t>3</w:t>
      </w:r>
      <w:r>
        <w:rPr>
          <w:rFonts w:eastAsia="Times New Roman" w:cs="Times New Roman"/>
        </w:rPr>
        <w:t xml:space="preserve">. </w:t>
      </w:r>
      <w:r w:rsidRPr="00DF0F4F">
        <w:rPr>
          <w:rFonts w:eastAsia="Times New Roman" w:cs="Times New Roman"/>
        </w:rPr>
        <w:t xml:space="preserve">The unit of measure for point and area </w:t>
      </w:r>
      <w:r w:rsidRPr="00DF0F4F">
        <w:rPr>
          <w:rFonts w:eastAsia="Times New Roman" w:cs="Times New Roman"/>
        </w:rPr>
        <w:lastRenderedPageBreak/>
        <w:t>sources is</w:t>
      </w:r>
      <w:r>
        <w:rPr>
          <w:rFonts w:eastAsia="Times New Roman" w:cs="Times New Roman"/>
        </w:rPr>
        <w:t xml:space="preserve"> the traditional tons per year.</w:t>
      </w:r>
      <w:r w:rsidRPr="00DF0F4F">
        <w:rPr>
          <w:rFonts w:eastAsia="Times New Roman" w:cs="Times New Roman"/>
        </w:rPr>
        <w:t xml:space="preserve"> Mobile source emissions are reported in terms of tons per day</w:t>
      </w:r>
      <w:r>
        <w:rPr>
          <w:rFonts w:eastAsia="Times New Roman" w:cs="Times New Roman"/>
        </w:rPr>
        <w:t xml:space="preserve">. The pre-processing model, SMOKE, converts all emissions to daily, weekly, and hourly values. </w:t>
      </w:r>
    </w:p>
    <w:p w14:paraId="4A9DC2F8" w14:textId="71330316" w:rsidR="00182835" w:rsidRPr="00D65616" w:rsidRDefault="00182835" w:rsidP="00E875DA">
      <w:pPr>
        <w:rPr>
          <w:rFonts w:eastAsia="Times New Roman" w:cs="Times New Roman"/>
        </w:rPr>
      </w:pPr>
      <w:r w:rsidRPr="00D65616">
        <w:rPr>
          <w:rFonts w:eastAsia="Times New Roman" w:cs="Times New Roman"/>
        </w:rPr>
        <w:t>Area source emissions were projected to 2017 from the 2014 triannual inventory. Growth data from appropriate data sources, including information from the Governor’s Office of Management and Budget, was used to project</w:t>
      </w:r>
      <w:r w:rsidR="00DD4A8A">
        <w:rPr>
          <w:rFonts w:eastAsia="Times New Roman" w:cs="Times New Roman"/>
        </w:rPr>
        <w:t xml:space="preserve"> inventories</w:t>
      </w:r>
      <w:r w:rsidRPr="00D65616">
        <w:rPr>
          <w:rFonts w:eastAsia="Times New Roman" w:cs="Times New Roman"/>
        </w:rPr>
        <w:t xml:space="preserve"> to 2026 and 2035</w:t>
      </w:r>
      <w:r w:rsidR="0067319C">
        <w:rPr>
          <w:rFonts w:eastAsia="Times New Roman" w:cs="Times New Roman"/>
          <w:color w:val="FF0000"/>
        </w:rPr>
        <w:t>.</w:t>
      </w:r>
      <w:r w:rsidRPr="00D65616">
        <w:rPr>
          <w:rFonts w:eastAsia="Times New Roman" w:cs="Times New Roman"/>
        </w:rPr>
        <w:t xml:space="preserve"> Point source emissions are represe</w:t>
      </w:r>
      <w:r w:rsidR="00DD4A8A">
        <w:rPr>
          <w:rFonts w:eastAsia="Times New Roman" w:cs="Times New Roman"/>
        </w:rPr>
        <w:t>nted as the actual emissions fro</w:t>
      </w:r>
      <w:r w:rsidRPr="00D65616">
        <w:rPr>
          <w:rFonts w:eastAsia="Times New Roman" w:cs="Times New Roman"/>
        </w:rPr>
        <w:t xml:space="preserve">m the 2017 triannual emissions inventory. Point sources were grown </w:t>
      </w:r>
      <w:r w:rsidR="009A3552">
        <w:rPr>
          <w:rFonts w:eastAsia="Times New Roman" w:cs="Times New Roman"/>
        </w:rPr>
        <w:t xml:space="preserve">to 2026 and 2035 </w:t>
      </w:r>
      <w:r w:rsidRPr="00D65616">
        <w:rPr>
          <w:rFonts w:eastAsia="Times New Roman" w:cs="Times New Roman"/>
        </w:rPr>
        <w:t>on a case</w:t>
      </w:r>
      <w:r w:rsidR="00F616A4">
        <w:rPr>
          <w:rFonts w:eastAsia="Times New Roman" w:cs="Times New Roman"/>
        </w:rPr>
        <w:t>-</w:t>
      </w:r>
      <w:r w:rsidRPr="00D65616">
        <w:rPr>
          <w:rFonts w:eastAsia="Times New Roman" w:cs="Times New Roman"/>
        </w:rPr>
        <w:t>by</w:t>
      </w:r>
      <w:r w:rsidR="00F616A4">
        <w:rPr>
          <w:rFonts w:eastAsia="Times New Roman" w:cs="Times New Roman"/>
        </w:rPr>
        <w:t>-</w:t>
      </w:r>
      <w:r w:rsidRPr="00D65616">
        <w:rPr>
          <w:rFonts w:eastAsia="Times New Roman" w:cs="Times New Roman"/>
        </w:rPr>
        <w:t xml:space="preserve">case basis for the projection inventories. </w:t>
      </w:r>
    </w:p>
    <w:p w14:paraId="10FBB54C" w14:textId="00189FAC" w:rsidR="00FE32C7" w:rsidRPr="00D65616" w:rsidRDefault="00FE32C7" w:rsidP="00FE32C7">
      <w:pPr>
        <w:rPr>
          <w:rFonts w:eastAsia="Times New Roman" w:cs="Times New Roman"/>
        </w:rPr>
      </w:pPr>
      <w:r>
        <w:rPr>
          <w:rFonts w:eastAsia="Times New Roman" w:cs="Times New Roman"/>
        </w:rPr>
        <w:t>On-road m</w:t>
      </w:r>
      <w:r w:rsidR="00182835" w:rsidRPr="00D65616">
        <w:rPr>
          <w:rFonts w:eastAsia="Times New Roman" w:cs="Times New Roman"/>
        </w:rPr>
        <w:t xml:space="preserve">obile source emissions were calculated </w:t>
      </w:r>
      <w:r w:rsidR="00182835" w:rsidRPr="00DF0F4F">
        <w:rPr>
          <w:rFonts w:eastAsia="Times New Roman" w:cs="Times New Roman"/>
        </w:rPr>
        <w:t xml:space="preserve">for each year using </w:t>
      </w:r>
      <w:r w:rsidR="00182835">
        <w:rPr>
          <w:rFonts w:eastAsia="Times New Roman" w:cs="Times New Roman"/>
        </w:rPr>
        <w:t>MOVES2014b</w:t>
      </w:r>
      <w:r w:rsidR="00182835" w:rsidRPr="00DF0F4F">
        <w:rPr>
          <w:rFonts w:eastAsia="Times New Roman" w:cs="Times New Roman"/>
        </w:rPr>
        <w:t xml:space="preserve"> in conjunction with the appropriate estimates for</w:t>
      </w:r>
      <w:r w:rsidR="00182835">
        <w:rPr>
          <w:rFonts w:eastAsia="Times New Roman" w:cs="Times New Roman"/>
        </w:rPr>
        <w:t xml:space="preserve"> vehicle miles traveled (VMT). </w:t>
      </w:r>
      <w:r w:rsidR="00182835" w:rsidRPr="00DF0F4F">
        <w:rPr>
          <w:rFonts w:eastAsia="Times New Roman" w:cs="Times New Roman"/>
        </w:rPr>
        <w:t xml:space="preserve">VMT estimates for the urban counties were </w:t>
      </w:r>
      <w:r w:rsidR="00182835">
        <w:rPr>
          <w:rFonts w:eastAsia="Times New Roman" w:cs="Times New Roman"/>
        </w:rPr>
        <w:t xml:space="preserve">provided by the local metropolitan planning organizations </w:t>
      </w:r>
      <w:r w:rsidR="00532F6E">
        <w:rPr>
          <w:rFonts w:eastAsia="Times New Roman" w:cs="Times New Roman"/>
        </w:rPr>
        <w:t xml:space="preserve">(MPOs), including the </w:t>
      </w:r>
      <w:r w:rsidR="00182835">
        <w:rPr>
          <w:rFonts w:eastAsia="Times New Roman" w:cs="Times New Roman"/>
        </w:rPr>
        <w:t xml:space="preserve">Wasatch Front Regional Council, </w:t>
      </w:r>
      <w:r w:rsidR="00532F6E">
        <w:rPr>
          <w:rFonts w:eastAsia="Times New Roman" w:cs="Times New Roman"/>
        </w:rPr>
        <w:t xml:space="preserve">the </w:t>
      </w:r>
      <w:r w:rsidR="00182835">
        <w:rPr>
          <w:rFonts w:eastAsia="Times New Roman" w:cs="Times New Roman"/>
        </w:rPr>
        <w:t xml:space="preserve">Mountainland Association of Governments, and </w:t>
      </w:r>
      <w:r w:rsidR="00532F6E">
        <w:rPr>
          <w:rFonts w:eastAsia="Times New Roman" w:cs="Times New Roman"/>
        </w:rPr>
        <w:t xml:space="preserve">the </w:t>
      </w:r>
      <w:r w:rsidR="00182835">
        <w:rPr>
          <w:rFonts w:eastAsia="Times New Roman" w:cs="Times New Roman"/>
        </w:rPr>
        <w:t>Cache Metropolitan Planning Organization</w:t>
      </w:r>
      <w:r w:rsidR="00532F6E">
        <w:rPr>
          <w:rFonts w:eastAsia="Times New Roman" w:cs="Times New Roman"/>
        </w:rPr>
        <w:t>,</w:t>
      </w:r>
      <w:r w:rsidR="00182835">
        <w:rPr>
          <w:rFonts w:eastAsia="Times New Roman" w:cs="Times New Roman"/>
        </w:rPr>
        <w:t xml:space="preserve"> </w:t>
      </w:r>
      <w:r w:rsidR="00532F6E">
        <w:rPr>
          <w:rFonts w:eastAsia="Times New Roman" w:cs="Times New Roman"/>
        </w:rPr>
        <w:t xml:space="preserve">and are </w:t>
      </w:r>
      <w:r w:rsidR="00182835" w:rsidRPr="00DF0F4F">
        <w:rPr>
          <w:rFonts w:eastAsia="Times New Roman" w:cs="Times New Roman"/>
        </w:rPr>
        <w:t xml:space="preserve">based on </w:t>
      </w:r>
      <w:r w:rsidR="00883EF7">
        <w:rPr>
          <w:rFonts w:eastAsia="Times New Roman" w:cs="Times New Roman"/>
        </w:rPr>
        <w:t>their</w:t>
      </w:r>
      <w:r w:rsidR="00883EF7" w:rsidRPr="00DF0F4F">
        <w:rPr>
          <w:rFonts w:eastAsia="Times New Roman" w:cs="Times New Roman"/>
        </w:rPr>
        <w:t xml:space="preserve"> </w:t>
      </w:r>
      <w:r w:rsidR="00182835" w:rsidRPr="00DF0F4F">
        <w:rPr>
          <w:rFonts w:eastAsia="Times New Roman" w:cs="Times New Roman"/>
        </w:rPr>
        <w:t>travel demand model</w:t>
      </w:r>
      <w:r w:rsidR="00883EF7">
        <w:rPr>
          <w:rFonts w:eastAsia="Times New Roman" w:cs="Times New Roman"/>
        </w:rPr>
        <w:t>ing</w:t>
      </w:r>
      <w:r w:rsidR="00182835">
        <w:rPr>
          <w:rFonts w:eastAsia="Times New Roman" w:cs="Times New Roman"/>
        </w:rPr>
        <w:t xml:space="preserve"> for 2017, 2026, and 2035.</w:t>
      </w:r>
      <w:r w:rsidRPr="00FE32C7">
        <w:rPr>
          <w:rFonts w:eastAsia="Times New Roman" w:cs="Times New Roman"/>
        </w:rPr>
        <w:t xml:space="preserve"> </w:t>
      </w:r>
      <w:r>
        <w:rPr>
          <w:rFonts w:eastAsia="Times New Roman" w:cs="Times New Roman"/>
        </w:rPr>
        <w:t>Non-road mobile source emission</w:t>
      </w:r>
      <w:r w:rsidR="00883EF7">
        <w:rPr>
          <w:rFonts w:eastAsia="Times New Roman" w:cs="Times New Roman"/>
        </w:rPr>
        <w:t>s</w:t>
      </w:r>
      <w:r>
        <w:rPr>
          <w:rFonts w:eastAsia="Times New Roman" w:cs="Times New Roman"/>
        </w:rPr>
        <w:t xml:space="preserve"> were calculated for each year using MOVES2014b. Growth data from appropriate data sources was used to project to 2026 and 2035. </w:t>
      </w:r>
      <w:r w:rsidRPr="00D65616">
        <w:rPr>
          <w:rFonts w:eastAsia="Times New Roman" w:cs="Times New Roman"/>
        </w:rPr>
        <w:t xml:space="preserve">The Technical Support Documentation accompanying this SIP </w:t>
      </w:r>
      <w:r w:rsidR="00883EF7" w:rsidRPr="00D65616">
        <w:rPr>
          <w:rFonts w:eastAsia="Times New Roman" w:cs="Times New Roman"/>
        </w:rPr>
        <w:t>includ</w:t>
      </w:r>
      <w:r w:rsidR="00883EF7">
        <w:rPr>
          <w:rFonts w:eastAsia="Times New Roman" w:cs="Times New Roman"/>
        </w:rPr>
        <w:t>es</w:t>
      </w:r>
      <w:r w:rsidR="00883EF7" w:rsidRPr="00D65616">
        <w:rPr>
          <w:rFonts w:eastAsia="Times New Roman" w:cs="Times New Roman"/>
        </w:rPr>
        <w:t xml:space="preserve"> the Inventory Preparation Plan</w:t>
      </w:r>
      <w:r w:rsidR="00883EF7">
        <w:rPr>
          <w:rFonts w:eastAsia="Times New Roman" w:cs="Times New Roman"/>
        </w:rPr>
        <w:t xml:space="preserve"> that </w:t>
      </w:r>
      <w:r w:rsidRPr="00D65616">
        <w:rPr>
          <w:rFonts w:eastAsia="Times New Roman" w:cs="Times New Roman"/>
        </w:rPr>
        <w:t>details the growth factors used for each emissions source.</w:t>
      </w:r>
    </w:p>
    <w:p w14:paraId="14C6426C" w14:textId="5C8F0D4B" w:rsidR="00742AB3" w:rsidRPr="006678D7" w:rsidRDefault="00742AB3" w:rsidP="00742AB3">
      <w:pPr>
        <w:rPr>
          <w:rFonts w:eastAsia="Times New Roman" w:cs="Times New Roman"/>
        </w:rPr>
      </w:pPr>
      <w:r w:rsidRPr="006678D7">
        <w:rPr>
          <w:rFonts w:eastAsia="Times New Roman" w:cs="Times New Roman"/>
        </w:rPr>
        <w:t xml:space="preserve">Source category emission inventories are expected to look quite different between 2017 and 2035. Population is expected to steadily increase between the 18-year span. </w:t>
      </w:r>
      <w:bookmarkStart w:id="105" w:name="_Hlk16180660"/>
      <w:r w:rsidRPr="006678D7">
        <w:rPr>
          <w:rFonts w:eastAsia="Times New Roman" w:cs="Times New Roman"/>
        </w:rPr>
        <w:t xml:space="preserve">On-road mobile emissions dominate the 2017 inventory; however, in 2035 area source emissions dominate the inventory. </w:t>
      </w:r>
      <w:bookmarkEnd w:id="105"/>
      <w:r w:rsidRPr="006678D7">
        <w:rPr>
          <w:rFonts w:eastAsia="Times New Roman" w:cs="Times New Roman"/>
        </w:rPr>
        <w:t xml:space="preserve">This is due to the tier 3 federal fuel standards and phase-in of newer cars driving on-road emission reductions. Area source emissions are relatively stable from 2017 to 2026 to 2035, besides a decrease in NOx from 2017 to 2026 due to the phase-in of area source rules. </w:t>
      </w:r>
    </w:p>
    <w:p w14:paraId="2329CC49" w14:textId="33C1524E" w:rsidR="00532F6E" w:rsidRDefault="00532F6E" w:rsidP="00532F6E">
      <w:pPr>
        <w:rPr>
          <w:rFonts w:eastAsia="Times New Roman" w:cs="Times New Roman"/>
        </w:rPr>
      </w:pPr>
      <w:r w:rsidRPr="006678D7">
        <w:rPr>
          <w:rFonts w:eastAsia="Times New Roman" w:cs="Times New Roman"/>
        </w:rPr>
        <w:t xml:space="preserve">Since this SIP subsection takes the form of a maintenance plan, it must demonstrate that the </w:t>
      </w:r>
      <w:r w:rsidRPr="00DF0F4F">
        <w:rPr>
          <w:rFonts w:eastAsia="Times New Roman" w:cs="Times New Roman"/>
        </w:rPr>
        <w:t>area will continue to attain the PM</w:t>
      </w:r>
      <w:r>
        <w:rPr>
          <w:rFonts w:eastAsia="Times New Roman" w:cs="Times New Roman"/>
          <w:vertAlign w:val="subscript"/>
        </w:rPr>
        <w:t>2.5</w:t>
      </w:r>
      <w:r w:rsidRPr="00DF0F4F">
        <w:rPr>
          <w:rFonts w:eastAsia="Times New Roman" w:cs="Times New Roman"/>
        </w:rPr>
        <w:t xml:space="preserve"> NAAQS throughout a period of ten years from the date of EPA approval. It is also necessary to “spot </w:t>
      </w:r>
      <w:r>
        <w:rPr>
          <w:rFonts w:eastAsia="Times New Roman" w:cs="Times New Roman"/>
        </w:rPr>
        <w:t xml:space="preserve">check” this ten-year interval. </w:t>
      </w:r>
      <w:r w:rsidRPr="00DF0F4F">
        <w:rPr>
          <w:rFonts w:eastAsia="Times New Roman" w:cs="Times New Roman"/>
        </w:rPr>
        <w:t>Hence, projection inventories were prep</w:t>
      </w:r>
      <w:r>
        <w:rPr>
          <w:rFonts w:eastAsia="Times New Roman" w:cs="Times New Roman"/>
        </w:rPr>
        <w:t>ared for 2026 and 2035. Table IX.A.36.1</w:t>
      </w:r>
      <w:r w:rsidR="005864A4">
        <w:rPr>
          <w:rFonts w:eastAsia="Times New Roman" w:cs="Times New Roman"/>
        </w:rPr>
        <w:t>0</w:t>
      </w:r>
      <w:r>
        <w:rPr>
          <w:rFonts w:eastAsia="Times New Roman" w:cs="Times New Roman"/>
        </w:rPr>
        <w:t xml:space="preserve"> below</w:t>
      </w:r>
      <w:r w:rsidRPr="00DF0F4F">
        <w:rPr>
          <w:rFonts w:eastAsia="Times New Roman" w:cs="Times New Roman"/>
        </w:rPr>
        <w:t xml:space="preserve"> summarize</w:t>
      </w:r>
      <w:r>
        <w:rPr>
          <w:rFonts w:eastAsia="Times New Roman" w:cs="Times New Roman"/>
        </w:rPr>
        <w:t>s</w:t>
      </w:r>
      <w:r w:rsidRPr="00DF0F4F">
        <w:rPr>
          <w:rFonts w:eastAsia="Times New Roman" w:cs="Times New Roman"/>
        </w:rPr>
        <w:t xml:space="preserve"> these inventories. As described</w:t>
      </w:r>
      <w:r>
        <w:rPr>
          <w:rFonts w:eastAsia="Times New Roman" w:cs="Times New Roman"/>
        </w:rPr>
        <w:t>, it</w:t>
      </w:r>
      <w:r w:rsidRPr="00DF0F4F">
        <w:rPr>
          <w:rFonts w:eastAsia="Times New Roman" w:cs="Times New Roman"/>
        </w:rPr>
        <w:t xml:space="preserve"> represent</w:t>
      </w:r>
      <w:r>
        <w:rPr>
          <w:rFonts w:eastAsia="Times New Roman" w:cs="Times New Roman"/>
        </w:rPr>
        <w:t>s</w:t>
      </w:r>
      <w:r w:rsidRPr="00DF0F4F">
        <w:rPr>
          <w:rFonts w:eastAsia="Times New Roman" w:cs="Times New Roman"/>
        </w:rPr>
        <w:t xml:space="preserve"> point, area, on-road mobile, and </w:t>
      </w:r>
      <w:r>
        <w:rPr>
          <w:rFonts w:eastAsia="Times New Roman" w:cs="Times New Roman"/>
        </w:rPr>
        <w:t>non</w:t>
      </w:r>
      <w:r w:rsidRPr="00DF0F4F">
        <w:rPr>
          <w:rFonts w:eastAsia="Times New Roman" w:cs="Times New Roman"/>
        </w:rPr>
        <w:t>-road mobile sources in the modeling domain</w:t>
      </w:r>
      <w:r>
        <w:rPr>
          <w:rFonts w:eastAsia="Times New Roman" w:cs="Times New Roman"/>
        </w:rPr>
        <w:t xml:space="preserve"> and</w:t>
      </w:r>
      <w:r w:rsidRPr="00DF0F4F">
        <w:rPr>
          <w:rFonts w:eastAsia="Times New Roman" w:cs="Times New Roman"/>
        </w:rPr>
        <w:t xml:space="preserve"> include</w:t>
      </w:r>
      <w:r>
        <w:rPr>
          <w:rFonts w:eastAsia="Times New Roman" w:cs="Times New Roman"/>
        </w:rPr>
        <w:t>s</w:t>
      </w:r>
      <w:r w:rsidRPr="00DF0F4F">
        <w:rPr>
          <w:rFonts w:eastAsia="Times New Roman" w:cs="Times New Roman"/>
        </w:rPr>
        <w:t xml:space="preserve"> PM</w:t>
      </w:r>
      <w:r>
        <w:rPr>
          <w:rFonts w:eastAsia="Times New Roman" w:cs="Times New Roman"/>
          <w:vertAlign w:val="subscript"/>
        </w:rPr>
        <w:t>2.5</w:t>
      </w:r>
      <w:r w:rsidRPr="00DF0F4F">
        <w:rPr>
          <w:rFonts w:eastAsia="Times New Roman" w:cs="Times New Roman"/>
        </w:rPr>
        <w:t xml:space="preserve">, </w:t>
      </w:r>
      <w:r>
        <w:rPr>
          <w:rFonts w:eastAsia="Times New Roman" w:cs="Times New Roman"/>
        </w:rPr>
        <w:t xml:space="preserve">as well as the precursors </w:t>
      </w:r>
      <w:r w:rsidRPr="00DF0F4F">
        <w:rPr>
          <w:rFonts w:eastAsia="Times New Roman" w:cs="Times New Roman"/>
        </w:rPr>
        <w:t>SO</w:t>
      </w:r>
      <w:r w:rsidRPr="00DF0F4F">
        <w:rPr>
          <w:rFonts w:eastAsia="Times New Roman" w:cs="Times New Roman"/>
          <w:vertAlign w:val="subscript"/>
        </w:rPr>
        <w:t>2</w:t>
      </w:r>
      <w:r w:rsidRPr="00DF0F4F">
        <w:rPr>
          <w:rFonts w:eastAsia="Times New Roman" w:cs="Times New Roman"/>
        </w:rPr>
        <w:t>, NO</w:t>
      </w:r>
      <w:r w:rsidRPr="00DF0F4F">
        <w:rPr>
          <w:rFonts w:eastAsia="Times New Roman" w:cs="Times New Roman"/>
          <w:vertAlign w:val="subscript"/>
        </w:rPr>
        <w:t>X</w:t>
      </w:r>
      <w:r w:rsidRPr="00DF0F4F">
        <w:rPr>
          <w:rFonts w:eastAsia="Times New Roman" w:cs="Times New Roman"/>
        </w:rPr>
        <w:t>, VOC</w:t>
      </w:r>
      <w:r>
        <w:rPr>
          <w:rFonts w:eastAsia="Times New Roman" w:cs="Times New Roman"/>
        </w:rPr>
        <w:t>, and NH</w:t>
      </w:r>
      <w:r w:rsidRPr="00E07229">
        <w:rPr>
          <w:rFonts w:eastAsia="Times New Roman" w:cs="Times New Roman"/>
          <w:vertAlign w:val="subscript"/>
        </w:rPr>
        <w:t>3</w:t>
      </w:r>
      <w:r>
        <w:rPr>
          <w:rFonts w:eastAsia="Times New Roman" w:cs="Times New Roman"/>
        </w:rPr>
        <w:t xml:space="preserve"> as defined in 40 CFR Parts 50, 51, and 93.</w:t>
      </w:r>
    </w:p>
    <w:p w14:paraId="53205E6B" w14:textId="514A01CE" w:rsidR="00532F6E" w:rsidRDefault="00532F6E" w:rsidP="00532F6E">
      <w:r>
        <w:t>More detail concerning any element of the inventory can be found in the appropriate section of the T</w:t>
      </w:r>
      <w:r w:rsidR="00742AB3">
        <w:t>SD</w:t>
      </w:r>
      <w:r>
        <w:t>. More detail about the general construction of the inventory can be found in the Inventory Preparation Plan.</w:t>
      </w:r>
    </w:p>
    <w:p w14:paraId="11753CCC" w14:textId="77777777" w:rsidR="00883EF7" w:rsidRDefault="00883EF7">
      <w:pPr>
        <w:rPr>
          <w:rFonts w:eastAsia="Times New Roman" w:cs="Times New Roman"/>
        </w:rPr>
      </w:pPr>
      <w:r>
        <w:rPr>
          <w:rFonts w:eastAsia="Times New Roman" w:cs="Times New Roman"/>
        </w:rPr>
        <w:br w:type="page"/>
      </w:r>
    </w:p>
    <w:p w14:paraId="00C7C1FD" w14:textId="0B89F033" w:rsidR="00A836F3" w:rsidRDefault="005253CC" w:rsidP="00992420">
      <w:pPr>
        <w:pStyle w:val="Caption"/>
      </w:pPr>
      <w:bookmarkStart w:id="106" w:name="_Toc16156407"/>
      <w:bookmarkStart w:id="107" w:name="_Toc16162942"/>
      <w:r w:rsidRPr="005253CC">
        <w:rPr>
          <w:noProof/>
        </w:rPr>
        <w:lastRenderedPageBreak/>
        <w:drawing>
          <wp:inline distT="0" distB="0" distL="0" distR="0" wp14:anchorId="29964271" wp14:editId="79998E91">
            <wp:extent cx="5943600" cy="3104355"/>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104355"/>
                    </a:xfrm>
                    <a:prstGeom prst="rect">
                      <a:avLst/>
                    </a:prstGeom>
                    <a:noFill/>
                    <a:ln>
                      <a:noFill/>
                    </a:ln>
                  </pic:spPr>
                </pic:pic>
              </a:graphicData>
            </a:graphic>
          </wp:inline>
        </w:drawing>
      </w:r>
    </w:p>
    <w:p w14:paraId="1472566A" w14:textId="3C89DC1E" w:rsidR="00992420" w:rsidRPr="00113E09" w:rsidRDefault="00992420" w:rsidP="00992420">
      <w:pPr>
        <w:pStyle w:val="Caption"/>
        <w:rPr>
          <w:rFonts w:eastAsia="Times New Roman" w:cs="Times New Roman"/>
          <w:color w:val="auto"/>
        </w:rPr>
      </w:pPr>
      <w:bookmarkStart w:id="108" w:name="_Toc17269000"/>
      <w:r w:rsidRPr="00113E09">
        <w:rPr>
          <w:color w:val="auto"/>
        </w:rPr>
        <w:t xml:space="preserve">Table IX.A.36. </w:t>
      </w:r>
      <w:r w:rsidR="00767843" w:rsidRPr="00113E09">
        <w:rPr>
          <w:color w:val="auto"/>
        </w:rPr>
        <w:fldChar w:fldCharType="begin"/>
      </w:r>
      <w:r w:rsidR="00767843" w:rsidRPr="00113E09">
        <w:rPr>
          <w:color w:val="auto"/>
        </w:rPr>
        <w:instrText xml:space="preserve"> SEQ Table_IX.A.36. \* ARABIC </w:instrText>
      </w:r>
      <w:r w:rsidR="00767843" w:rsidRPr="00113E09">
        <w:rPr>
          <w:color w:val="auto"/>
        </w:rPr>
        <w:fldChar w:fldCharType="separate"/>
      </w:r>
      <w:r w:rsidR="00767843">
        <w:rPr>
          <w:noProof/>
          <w:color w:val="auto"/>
        </w:rPr>
        <w:t>10</w:t>
      </w:r>
      <w:r w:rsidR="00767843" w:rsidRPr="00113E09">
        <w:rPr>
          <w:noProof/>
          <w:color w:val="auto"/>
        </w:rPr>
        <w:fldChar w:fldCharType="end"/>
      </w:r>
      <w:r w:rsidRPr="00113E09">
        <w:rPr>
          <w:color w:val="auto"/>
        </w:rPr>
        <w:t xml:space="preserve"> Emissions Inventories </w:t>
      </w:r>
      <w:r w:rsidR="00F012BA" w:rsidRPr="00113E09">
        <w:rPr>
          <w:color w:val="auto"/>
        </w:rPr>
        <w:t xml:space="preserve">in Tons per Average Episode Day </w:t>
      </w:r>
      <w:r w:rsidRPr="00113E09">
        <w:rPr>
          <w:color w:val="auto"/>
        </w:rPr>
        <w:t>by Year and Source Category</w:t>
      </w:r>
      <w:bookmarkEnd w:id="108"/>
    </w:p>
    <w:bookmarkEnd w:id="106"/>
    <w:bookmarkEnd w:id="107"/>
    <w:p w14:paraId="1ECF784F" w14:textId="77777777" w:rsidR="00992420" w:rsidRDefault="00992420" w:rsidP="00E875DA"/>
    <w:p w14:paraId="08D4468D" w14:textId="1062E95B" w:rsidR="004C1422" w:rsidRPr="00306BC8" w:rsidRDefault="00532F6E" w:rsidP="00306BC8">
      <w:pPr>
        <w:pStyle w:val="Heading2"/>
      </w:pPr>
      <w:r w:rsidDel="00532F6E">
        <w:t xml:space="preserve"> </w:t>
      </w:r>
      <w:bookmarkStart w:id="109" w:name="_Toc17268979"/>
      <w:r w:rsidR="00D1524A" w:rsidRPr="00306BC8">
        <w:t>(3</w:t>
      </w:r>
      <w:r w:rsidR="004C1422" w:rsidRPr="00306BC8">
        <w:t>) Additional Controls for Future Years</w:t>
      </w:r>
      <w:bookmarkEnd w:id="109"/>
      <w:r w:rsidR="004C1422" w:rsidRPr="00306BC8">
        <w:t xml:space="preserve"> </w:t>
      </w:r>
    </w:p>
    <w:p w14:paraId="52A3441F" w14:textId="3ED24660" w:rsidR="00D1524A" w:rsidRDefault="00D1524A" w:rsidP="00E875DA">
      <w:r w:rsidRPr="00E839C4">
        <w:t xml:space="preserve">Since the emission </w:t>
      </w:r>
      <w:r w:rsidRPr="00113E09">
        <w:t>limitations discussed in subsection IX.A.</w:t>
      </w:r>
      <w:r w:rsidR="0086082D" w:rsidRPr="00113E09">
        <w:t>36</w:t>
      </w:r>
      <w:r w:rsidR="009F4C83" w:rsidRPr="00113E09">
        <w:t>.b</w:t>
      </w:r>
      <w:r w:rsidRPr="00113E09">
        <w:t>(3) are federally enforceable and, as demonstrated in IX.A.</w:t>
      </w:r>
      <w:r w:rsidR="0086082D" w:rsidRPr="00113E09">
        <w:t>36</w:t>
      </w:r>
      <w:r w:rsidRPr="00113E09">
        <w:t xml:space="preserve">.c(1) above, are sufficient to ensure continued attainment of the </w:t>
      </w:r>
      <w:r w:rsidRPr="00113E09">
        <w:rPr>
          <w:rFonts w:eastAsia="Times New Roman" w:cs="Times New Roman"/>
        </w:rPr>
        <w:t>PM</w:t>
      </w:r>
      <w:r w:rsidRPr="00113E09">
        <w:rPr>
          <w:rFonts w:eastAsia="Times New Roman" w:cs="Times New Roman"/>
          <w:vertAlign w:val="subscript"/>
        </w:rPr>
        <w:t>2.5</w:t>
      </w:r>
      <w:r w:rsidR="00FE3631" w:rsidRPr="00113E09">
        <w:rPr>
          <w:rFonts w:eastAsia="Times New Roman" w:cs="Times New Roman"/>
          <w:vertAlign w:val="subscript"/>
        </w:rPr>
        <w:t xml:space="preserve"> </w:t>
      </w:r>
      <w:r w:rsidRPr="00113E09">
        <w:t xml:space="preserve">NAAQS, there is no need to require any additional </w:t>
      </w:r>
      <w:r w:rsidRPr="00E839C4">
        <w:t xml:space="preserve">control measures to maintain the </w:t>
      </w:r>
      <w:r w:rsidRPr="00DF0F4F">
        <w:rPr>
          <w:rFonts w:eastAsia="Times New Roman" w:cs="Times New Roman"/>
        </w:rPr>
        <w:t>PM</w:t>
      </w:r>
      <w:r>
        <w:rPr>
          <w:rFonts w:eastAsia="Times New Roman" w:cs="Times New Roman"/>
          <w:vertAlign w:val="subscript"/>
        </w:rPr>
        <w:t>2.5</w:t>
      </w:r>
      <w:r w:rsidRPr="00E839C4">
        <w:t xml:space="preserve"> NAAQS.</w:t>
      </w:r>
    </w:p>
    <w:p w14:paraId="5C793C3E" w14:textId="0C0A0B65" w:rsidR="004C1422" w:rsidRPr="00306BC8" w:rsidRDefault="00D1524A" w:rsidP="00306BC8">
      <w:pPr>
        <w:pStyle w:val="Heading2"/>
      </w:pPr>
      <w:bookmarkStart w:id="110" w:name="_Toc17268980"/>
      <w:r w:rsidRPr="00306BC8">
        <w:t>(4</w:t>
      </w:r>
      <w:r w:rsidR="004C1422" w:rsidRPr="00306BC8">
        <w:t>) Mobile Source Budget for Purposes of Conformity</w:t>
      </w:r>
      <w:bookmarkEnd w:id="110"/>
      <w:r w:rsidR="004C1422" w:rsidRPr="00306BC8">
        <w:t xml:space="preserve"> </w:t>
      </w:r>
    </w:p>
    <w:p w14:paraId="3208EE57" w14:textId="2D673815" w:rsidR="00D1524A" w:rsidRDefault="00D1524A" w:rsidP="00C330D6">
      <w:r w:rsidRPr="00A64BCF">
        <w:t xml:space="preserve">The transportation conformity provisions of section 176(c)(2)(A) of the </w:t>
      </w:r>
      <w:r w:rsidR="00532F6E">
        <w:t>Act</w:t>
      </w:r>
      <w:r w:rsidRPr="00A64BCF">
        <w:t xml:space="preserve"> require</w:t>
      </w:r>
      <w:r w:rsidR="007953CD">
        <w:t>s</w:t>
      </w:r>
      <w:r w:rsidR="005E53D4">
        <w:t xml:space="preserve"> </w:t>
      </w:r>
      <w:r w:rsidRPr="00A64BCF">
        <w:t>regional transportation plans and programs to show that “…emissions expected from implementation of plans and programs are consistent with estimates of emissions from motor vehicles and necessary emissions reductions contained in the applicable implementation plan…” EPA's transportation conformity regulation (40 CFR 93, Subpart A</w:t>
      </w:r>
      <w:r w:rsidRPr="005017E1">
        <w:t xml:space="preserve">, last amended at 77 FR 14979, March 14 2012 </w:t>
      </w:r>
      <w:r w:rsidRPr="00A64BCF">
        <w:t>) also requires that motor vehicle emission budgets must be established for the last year of the maintenance plan, and may be established for any years deemed appropriate (see 40 CFR 93.118(b)(2)(i</w:t>
      </w:r>
      <w:r w:rsidR="00EE524F">
        <w:t>)).</w:t>
      </w:r>
      <w:r w:rsidRPr="00A64BCF">
        <w:t xml:space="preserve"> </w:t>
      </w:r>
    </w:p>
    <w:p w14:paraId="1BAC54F4" w14:textId="35EB8450" w:rsidR="00D1524A" w:rsidRPr="00A64BCF" w:rsidRDefault="000F0100" w:rsidP="00C330D6">
      <w:r w:rsidRPr="001F3D0B">
        <w:t xml:space="preserve">For </w:t>
      </w:r>
      <w:r w:rsidR="00D1524A" w:rsidRPr="001F3D0B">
        <w:t>a</w:t>
      </w:r>
      <w:r w:rsidR="00A2740F">
        <w:t>n</w:t>
      </w:r>
      <w:r w:rsidR="00D1524A" w:rsidRPr="00A64BCF">
        <w:t xml:space="preserve"> MPO’s Re</w:t>
      </w:r>
      <w:r w:rsidR="00654751">
        <w:t>gional Transportation Plan</w:t>
      </w:r>
      <w:r w:rsidR="00D1524A" w:rsidRPr="00A64BCF">
        <w:t>, analysis years that are after the last year of the mai</w:t>
      </w:r>
      <w:r w:rsidR="00D1524A">
        <w:t>ntenance plan (in this case 2035</w:t>
      </w:r>
      <w:r w:rsidR="00D1524A" w:rsidRPr="00A64BCF">
        <w:t xml:space="preserve">), a conformity determination must show that emissions are less than or equal to the maintenance plan's motor vehicle emissions budget(s) for the last year of the implementation plan. </w:t>
      </w:r>
    </w:p>
    <w:p w14:paraId="3D43C3D9" w14:textId="6964AA93" w:rsidR="004C1422" w:rsidRPr="00552C5A" w:rsidRDefault="003F4164" w:rsidP="00552C5A">
      <w:pPr>
        <w:pStyle w:val="Heading3"/>
        <w:numPr>
          <w:ilvl w:val="0"/>
          <w:numId w:val="43"/>
        </w:numPr>
      </w:pPr>
      <w:bookmarkStart w:id="111" w:name="_Toc17268981"/>
      <w:bookmarkStart w:id="112" w:name="_Hlk14766172"/>
      <w:r w:rsidRPr="00552C5A">
        <w:t xml:space="preserve">Mobile Source </w:t>
      </w:r>
      <w:r w:rsidR="0082090D" w:rsidRPr="00552C5A">
        <w:t>PM</w:t>
      </w:r>
      <w:r w:rsidR="007E7565">
        <w:rPr>
          <w:vertAlign w:val="subscript"/>
        </w:rPr>
        <w:t>2.5</w:t>
      </w:r>
      <w:r w:rsidR="004C1422" w:rsidRPr="00552C5A">
        <w:t xml:space="preserve"> Emissions Budgets</w:t>
      </w:r>
      <w:bookmarkEnd w:id="111"/>
    </w:p>
    <w:bookmarkEnd w:id="112"/>
    <w:p w14:paraId="6BBD1FF1" w14:textId="36868357" w:rsidR="000128DD" w:rsidRDefault="000128DD" w:rsidP="00C330D6">
      <w:pPr>
        <w:rPr>
          <w:rFonts w:eastAsia="Times New Roman" w:cs="Times New Roman"/>
        </w:rPr>
      </w:pPr>
      <w:r>
        <w:t xml:space="preserve">In this maintenance plan, Utah is establishing transportation conformity motor vehicle emission budgets (MVEB) for </w:t>
      </w:r>
      <w:r w:rsidR="00EB667C">
        <w:t xml:space="preserve">direct </w:t>
      </w:r>
      <w:r w:rsidRPr="00DF0F4F">
        <w:rPr>
          <w:rFonts w:eastAsia="Times New Roman" w:cs="Times New Roman"/>
        </w:rPr>
        <w:t>PM</w:t>
      </w:r>
      <w:r>
        <w:rPr>
          <w:rFonts w:eastAsia="Times New Roman" w:cs="Times New Roman"/>
          <w:vertAlign w:val="subscript"/>
        </w:rPr>
        <w:t>2.5</w:t>
      </w:r>
      <w:r>
        <w:rPr>
          <w:rFonts w:eastAsia="Times New Roman" w:cs="Times New Roman"/>
        </w:rPr>
        <w:t xml:space="preserve">, </w:t>
      </w:r>
      <w:r w:rsidRPr="00DF0F4F">
        <w:rPr>
          <w:rFonts w:eastAsia="Times New Roman" w:cs="Times New Roman"/>
        </w:rPr>
        <w:t>NO</w:t>
      </w:r>
      <w:r w:rsidRPr="00DF0F4F">
        <w:rPr>
          <w:rFonts w:eastAsia="Times New Roman" w:cs="Times New Roman"/>
          <w:vertAlign w:val="subscript"/>
        </w:rPr>
        <w:t>X</w:t>
      </w:r>
      <w:r w:rsidRPr="00DF0F4F">
        <w:rPr>
          <w:rFonts w:eastAsia="Times New Roman" w:cs="Times New Roman"/>
        </w:rPr>
        <w:t xml:space="preserve">, </w:t>
      </w:r>
      <w:r>
        <w:rPr>
          <w:rFonts w:eastAsia="Times New Roman" w:cs="Times New Roman"/>
        </w:rPr>
        <w:t xml:space="preserve">and </w:t>
      </w:r>
      <w:r w:rsidRPr="00DF0F4F">
        <w:rPr>
          <w:rFonts w:eastAsia="Times New Roman" w:cs="Times New Roman"/>
        </w:rPr>
        <w:t>VOC</w:t>
      </w:r>
      <w:r>
        <w:rPr>
          <w:rFonts w:eastAsia="Times New Roman" w:cs="Times New Roman"/>
        </w:rPr>
        <w:t xml:space="preserve"> for 2035.</w:t>
      </w:r>
      <w:r w:rsidR="00AF2DC7" w:rsidRPr="00AF2DC7">
        <w:rPr>
          <w:rFonts w:eastAsia="Times New Roman" w:cs="Times New Roman"/>
          <w:sz w:val="24"/>
          <w:szCs w:val="24"/>
        </w:rPr>
        <w:t xml:space="preserve"> </w:t>
      </w:r>
      <w:r w:rsidR="00AF2DC7" w:rsidRPr="00AF2DC7">
        <w:rPr>
          <w:rFonts w:eastAsia="Times New Roman" w:cs="Times New Roman"/>
        </w:rPr>
        <w:t>The MVEBs are established for tons per average winter weekday for NO</w:t>
      </w:r>
      <w:r w:rsidR="00AF2DC7" w:rsidRPr="00AF2DC7">
        <w:rPr>
          <w:rFonts w:eastAsia="Times New Roman" w:cs="Times New Roman"/>
          <w:vertAlign w:val="subscript"/>
        </w:rPr>
        <w:t xml:space="preserve">x </w:t>
      </w:r>
      <w:r w:rsidR="00AF2DC7" w:rsidRPr="00AF2DC7">
        <w:rPr>
          <w:rFonts w:eastAsia="Times New Roman" w:cs="Times New Roman"/>
        </w:rPr>
        <w:t>and VOC, and for direct PM</w:t>
      </w:r>
      <w:r w:rsidR="00AF2DC7" w:rsidRPr="00AF2DC7">
        <w:rPr>
          <w:rFonts w:eastAsia="Times New Roman" w:cs="Times New Roman"/>
          <w:vertAlign w:val="subscript"/>
        </w:rPr>
        <w:t>2.5</w:t>
      </w:r>
      <w:r w:rsidR="00AF2DC7" w:rsidRPr="00AF2DC7">
        <w:rPr>
          <w:rFonts w:eastAsia="Times New Roman" w:cs="Times New Roman"/>
        </w:rPr>
        <w:t xml:space="preserve"> (primary exhaust PM</w:t>
      </w:r>
      <w:r w:rsidR="00AF2DC7" w:rsidRPr="00AF2DC7">
        <w:rPr>
          <w:rFonts w:eastAsia="Times New Roman" w:cs="Times New Roman"/>
          <w:vertAlign w:val="subscript"/>
        </w:rPr>
        <w:t>2.5</w:t>
      </w:r>
      <w:r w:rsidR="00AF2DC7" w:rsidRPr="00AF2DC7">
        <w:rPr>
          <w:rFonts w:eastAsia="Times New Roman" w:cs="Times New Roman"/>
        </w:rPr>
        <w:t xml:space="preserve"> + brake and tire wear).</w:t>
      </w:r>
    </w:p>
    <w:p w14:paraId="517F3EA9" w14:textId="77777777" w:rsidR="004C1422" w:rsidRDefault="000128DD" w:rsidP="0054777F">
      <w:pPr>
        <w:pStyle w:val="Heading4"/>
        <w:numPr>
          <w:ilvl w:val="0"/>
          <w:numId w:val="0"/>
        </w:numPr>
      </w:pPr>
      <w:bookmarkStart w:id="113" w:name="_Toc17268982"/>
      <w:bookmarkStart w:id="114" w:name="_Hlk15292023"/>
      <w:r>
        <w:lastRenderedPageBreak/>
        <w:t xml:space="preserve">(i) </w:t>
      </w:r>
      <w:r w:rsidR="004C1422" w:rsidRPr="00C82B28">
        <w:t xml:space="preserve">Direct </w:t>
      </w:r>
      <w:r w:rsidR="0082090D" w:rsidRPr="00EF2C3F">
        <w:t>PM</w:t>
      </w:r>
      <w:r w:rsidR="0082090D" w:rsidRPr="000128DD">
        <w:rPr>
          <w:vertAlign w:val="subscript"/>
        </w:rPr>
        <w:t>2.5</w:t>
      </w:r>
      <w:r w:rsidR="00637DA2">
        <w:t>, NO</w:t>
      </w:r>
      <w:r w:rsidR="00637DA2" w:rsidRPr="00953EA1">
        <w:rPr>
          <w:vertAlign w:val="subscript"/>
        </w:rPr>
        <w:t>x</w:t>
      </w:r>
      <w:r w:rsidR="00637DA2">
        <w:t>, and VOC</w:t>
      </w:r>
      <w:bookmarkEnd w:id="113"/>
    </w:p>
    <w:bookmarkEnd w:id="114"/>
    <w:p w14:paraId="3C59E15D" w14:textId="39E61A4A" w:rsidR="00E80C39" w:rsidRPr="00E80C39" w:rsidRDefault="00E80C39" w:rsidP="00E80C39">
      <w:r w:rsidRPr="00E80C39">
        <w:t>Direct (or “primary”) PM</w:t>
      </w:r>
      <w:r w:rsidRPr="00E80C39">
        <w:rPr>
          <w:vertAlign w:val="subscript"/>
        </w:rPr>
        <w:t>2.5</w:t>
      </w:r>
      <w:r w:rsidRPr="00E80C39">
        <w:t xml:space="preserve"> refers to PM</w:t>
      </w:r>
      <w:r w:rsidRPr="00E80C39">
        <w:rPr>
          <w:vertAlign w:val="subscript"/>
        </w:rPr>
        <w:t>2.5</w:t>
      </w:r>
      <w:r w:rsidRPr="00E80C39">
        <w:t xml:space="preserve"> that is not formed via atmospheric chemistry. Rather, direct PM</w:t>
      </w:r>
      <w:r w:rsidRPr="00E80C39">
        <w:rPr>
          <w:vertAlign w:val="subscript"/>
        </w:rPr>
        <w:t>2.5</w:t>
      </w:r>
      <w:r w:rsidRPr="00E80C39">
        <w:t xml:space="preserve"> is emitted straight from a mobile or stationary source.  With regard to the emission budget presented herein, direct PM</w:t>
      </w:r>
      <w:r w:rsidRPr="00E80C39">
        <w:rPr>
          <w:vertAlign w:val="subscript"/>
        </w:rPr>
        <w:t>2.5</w:t>
      </w:r>
      <w:r w:rsidRPr="00E80C39">
        <w:t xml:space="preserve"> includes road dust, brake wear, and tire wear as well as PM</w:t>
      </w:r>
      <w:r w:rsidRPr="00E80C39">
        <w:rPr>
          <w:vertAlign w:val="subscript"/>
        </w:rPr>
        <w:t>2.5</w:t>
      </w:r>
      <w:r w:rsidRPr="00E80C39">
        <w:t xml:space="preserve"> from exhaust. Through atmospheric chemistry, NO</w:t>
      </w:r>
      <w:r w:rsidRPr="00E80C39">
        <w:rPr>
          <w:vertAlign w:val="subscript"/>
        </w:rPr>
        <w:t>X</w:t>
      </w:r>
      <w:r w:rsidRPr="00E80C39">
        <w:t xml:space="preserve"> and VOC emissions can substantially contribute to secondary PM</w:t>
      </w:r>
      <w:r w:rsidRPr="00E80C39">
        <w:rPr>
          <w:vertAlign w:val="subscript"/>
        </w:rPr>
        <w:t>2.5</w:t>
      </w:r>
      <w:r w:rsidRPr="00E80C39">
        <w:t xml:space="preserve"> formation. For this reason, NO</w:t>
      </w:r>
      <w:r w:rsidRPr="00E80C39">
        <w:rPr>
          <w:vertAlign w:val="subscript"/>
        </w:rPr>
        <w:t>X</w:t>
      </w:r>
      <w:r w:rsidRPr="00E80C39">
        <w:t xml:space="preserve"> and VOC are considered PM</w:t>
      </w:r>
      <w:r w:rsidRPr="00E80C39">
        <w:rPr>
          <w:vertAlign w:val="subscript"/>
        </w:rPr>
        <w:t>2.5</w:t>
      </w:r>
      <w:r w:rsidRPr="00E80C39">
        <w:t xml:space="preserve"> precursors and are the only PM</w:t>
      </w:r>
      <w:r w:rsidRPr="00E80C39">
        <w:rPr>
          <w:vertAlign w:val="subscript"/>
        </w:rPr>
        <w:t>2.5</w:t>
      </w:r>
      <w:r w:rsidRPr="00E80C39">
        <w:t xml:space="preserve"> precursors emitted at a significant level by on-road mobile</w:t>
      </w:r>
      <w:r w:rsidR="00532F6E">
        <w:t>,</w:t>
      </w:r>
      <w:r w:rsidRPr="00E80C39">
        <w:t xml:space="preserve"> and therefore included in the MVEBs.  </w:t>
      </w:r>
    </w:p>
    <w:p w14:paraId="1993B8A2" w14:textId="4E5DAE9A" w:rsidR="00637DA2" w:rsidRPr="00113E09" w:rsidRDefault="00637DA2" w:rsidP="00637DA2">
      <w:r w:rsidRPr="00B8614D">
        <w:t xml:space="preserve">EPA's conformity regulation (40 CFR 93.124(a)) allows the implementation plan to quantify explicitly the amount by which motor vehicle emissions could be higher while still demonstrating compliance with the maintenance requirement. </w:t>
      </w:r>
      <w:r w:rsidRPr="00B8614D">
        <w:rPr>
          <w:szCs w:val="24"/>
        </w:rPr>
        <w:t>These additional emissions that can be allocated to the applicable MVEB are c</w:t>
      </w:r>
      <w:r>
        <w:rPr>
          <w:szCs w:val="24"/>
        </w:rPr>
        <w:t xml:space="preserve">onsidered the “safety margin.” </w:t>
      </w:r>
      <w:r w:rsidRPr="00B8614D">
        <w:rPr>
          <w:szCs w:val="24"/>
        </w:rPr>
        <w:t xml:space="preserve">As defined in 40 CFR 93.101, </w:t>
      </w:r>
      <w:r w:rsidR="001F78B5">
        <w:rPr>
          <w:szCs w:val="24"/>
        </w:rPr>
        <w:t xml:space="preserve">the </w:t>
      </w:r>
      <w:r w:rsidRPr="00B8614D">
        <w:rPr>
          <w:szCs w:val="24"/>
        </w:rPr>
        <w:t>safety margin represents the amount of emissions by which the total projected emissions from all sources of a given pollutant are less than the total emissions that would satisfy the applicable requirement for demonstrating maintenance.</w:t>
      </w:r>
      <w:r>
        <w:rPr>
          <w:szCs w:val="24"/>
        </w:rPr>
        <w:t xml:space="preserve"> </w:t>
      </w:r>
      <w:r w:rsidRPr="00B8614D">
        <w:t xml:space="preserve">The implementation plan can then allocate some or all of this "safety margin" to the applicable MVEBs for transportation conformity </w:t>
      </w:r>
      <w:r w:rsidRPr="00113E09">
        <w:t xml:space="preserve">purposes. </w:t>
      </w:r>
    </w:p>
    <w:p w14:paraId="5FB15B1C" w14:textId="1FE749E1" w:rsidR="00F964BC" w:rsidRPr="00113E09" w:rsidRDefault="000128DD" w:rsidP="00F964BC">
      <w:r w:rsidRPr="00113E09">
        <w:t xml:space="preserve">As presented in the </w:t>
      </w:r>
      <w:r w:rsidR="00DD7145" w:rsidRPr="00113E09">
        <w:t>TSD</w:t>
      </w:r>
      <w:r w:rsidRPr="00113E09">
        <w:t xml:space="preserve"> for on-road mobile sources, the estimated on-road mobile source emissio</w:t>
      </w:r>
      <w:r w:rsidR="005E7267" w:rsidRPr="00113E09">
        <w:t>ns</w:t>
      </w:r>
      <w:r w:rsidR="0000030E" w:rsidRPr="00113E09">
        <w:t xml:space="preserve"> of </w:t>
      </w:r>
      <w:r w:rsidR="006552BF" w:rsidRPr="00113E09">
        <w:t xml:space="preserve">direct </w:t>
      </w:r>
      <w:r w:rsidR="0000030E" w:rsidRPr="00113E09">
        <w:t>PM</w:t>
      </w:r>
      <w:r w:rsidR="0000030E" w:rsidRPr="00113E09">
        <w:rPr>
          <w:vertAlign w:val="subscript"/>
        </w:rPr>
        <w:t>2.5</w:t>
      </w:r>
      <w:r w:rsidR="0000030E" w:rsidRPr="00113E09">
        <w:t>, NOx, and VOC</w:t>
      </w:r>
      <w:r w:rsidR="00DD7145" w:rsidRPr="00113E09">
        <w:t xml:space="preserve"> in 2035</w:t>
      </w:r>
      <w:r w:rsidR="005E7267" w:rsidRPr="00113E09">
        <w:t xml:space="preserve"> for the SLC NAA</w:t>
      </w:r>
      <w:r w:rsidRPr="00113E09">
        <w:t xml:space="preserve">, </w:t>
      </w:r>
      <w:r w:rsidR="005E7267" w:rsidRPr="00113E09">
        <w:t>are listed in the first row</w:t>
      </w:r>
      <w:r w:rsidR="0075256D" w:rsidRPr="00113E09">
        <w:t xml:space="preserve"> (original MVEB)</w:t>
      </w:r>
      <w:r w:rsidR="005E7267" w:rsidRPr="00113E09">
        <w:t xml:space="preserve"> in Table IX.</w:t>
      </w:r>
      <w:r w:rsidR="00E65233" w:rsidRPr="00113E09">
        <w:t>A.</w:t>
      </w:r>
      <w:r w:rsidR="005E7267" w:rsidRPr="00113E09">
        <w:t>36.</w:t>
      </w:r>
      <w:r w:rsidR="00DC5F92" w:rsidRPr="00113E09">
        <w:t>1</w:t>
      </w:r>
      <w:r w:rsidR="005864A4" w:rsidRPr="00113E09">
        <w:t>1</w:t>
      </w:r>
      <w:r w:rsidR="005E7267" w:rsidRPr="00113E09">
        <w:t>.</w:t>
      </w:r>
      <w:r w:rsidR="00E92F60" w:rsidRPr="00113E09">
        <w:t xml:space="preserve"> </w:t>
      </w:r>
      <w:r w:rsidR="005E7267" w:rsidRPr="00113E09">
        <w:t xml:space="preserve">These mobile source </w:t>
      </w:r>
      <w:r w:rsidRPr="00113E09">
        <w:t xml:space="preserve">emissions were included in the maintenance </w:t>
      </w:r>
      <w:r w:rsidR="0075256D" w:rsidRPr="00113E09">
        <w:t>demonstration</w:t>
      </w:r>
      <w:r w:rsidR="005E7E64" w:rsidRPr="00113E09">
        <w:t xml:space="preserve"> </w:t>
      </w:r>
      <w:r w:rsidRPr="00113E09">
        <w:t xml:space="preserve">in Subsection </w:t>
      </w:r>
      <w:r w:rsidR="00363C73" w:rsidRPr="00113E09">
        <w:t>IX.A</w:t>
      </w:r>
      <w:r w:rsidRPr="00113E09">
        <w:t>.</w:t>
      </w:r>
      <w:r w:rsidR="00363C73" w:rsidRPr="00113E09">
        <w:t>36.</w:t>
      </w:r>
      <w:r w:rsidR="00E92F60" w:rsidRPr="00113E09">
        <w:t xml:space="preserve">c.(1) </w:t>
      </w:r>
      <w:r w:rsidRPr="00113E09">
        <w:t>which estimates a maximum PM</w:t>
      </w:r>
      <w:r w:rsidRPr="00113E09">
        <w:rPr>
          <w:vertAlign w:val="subscript"/>
        </w:rPr>
        <w:t>2.5</w:t>
      </w:r>
      <w:r w:rsidRPr="00113E09">
        <w:t xml:space="preserve"> concentration of </w:t>
      </w:r>
      <w:r w:rsidR="00363C73" w:rsidRPr="00113E09">
        <w:t>33.2</w:t>
      </w:r>
      <w:r w:rsidRPr="00113E09">
        <w:t xml:space="preserve"> µg/m</w:t>
      </w:r>
      <w:r w:rsidRPr="00113E09">
        <w:rPr>
          <w:vertAlign w:val="superscript"/>
        </w:rPr>
        <w:t>3</w:t>
      </w:r>
      <w:r w:rsidRPr="00113E09">
        <w:t xml:space="preserve"> in 2035 within the </w:t>
      </w:r>
      <w:r w:rsidR="00D44B44" w:rsidRPr="00113E09">
        <w:t>SLC</w:t>
      </w:r>
      <w:r w:rsidRPr="00113E09">
        <w:t xml:space="preserve"> NAA p</w:t>
      </w:r>
      <w:r w:rsidR="00E92F60" w:rsidRPr="00113E09">
        <w:t xml:space="preserve">ortion of the modeling domain. </w:t>
      </w:r>
      <w:r w:rsidR="0075256D" w:rsidRPr="00113E09">
        <w:t>The</w:t>
      </w:r>
      <w:r w:rsidR="00634E93" w:rsidRPr="00113E09">
        <w:t>se</w:t>
      </w:r>
      <w:r w:rsidR="0075256D" w:rsidRPr="00113E09">
        <w:t xml:space="preserve"> emissions</w:t>
      </w:r>
      <w:r w:rsidR="00E92F60" w:rsidRPr="00113E09">
        <w:t xml:space="preserve"> numbers</w:t>
      </w:r>
      <w:r w:rsidR="00634E93" w:rsidRPr="00113E09">
        <w:t xml:space="preserve"> are considered</w:t>
      </w:r>
      <w:r w:rsidR="00E92F60" w:rsidRPr="00113E09">
        <w:t xml:space="preserve"> th</w:t>
      </w:r>
      <w:r w:rsidR="00CF1697" w:rsidRPr="00113E09">
        <w:t>e MVEB for the maintenance plan prior to the application of any amount of safety margin.</w:t>
      </w:r>
    </w:p>
    <w:p w14:paraId="32012A5F" w14:textId="25BE7CCE" w:rsidR="005E7267" w:rsidRPr="00113E09" w:rsidRDefault="005E7267" w:rsidP="005E7267">
      <w:r w:rsidRPr="00113E09">
        <w:t xml:space="preserve">The safety margin for </w:t>
      </w:r>
      <w:r w:rsidR="00CF1697" w:rsidRPr="00113E09">
        <w:t xml:space="preserve">the </w:t>
      </w:r>
      <w:r w:rsidRPr="00113E09">
        <w:t>SLC NAA portion of the domain equates to 1.</w:t>
      </w:r>
      <w:r w:rsidR="00D13B88" w:rsidRPr="00113E09">
        <w:t>8</w:t>
      </w:r>
      <w:r w:rsidRPr="00113E09">
        <w:t xml:space="preserve"> µg/m</w:t>
      </w:r>
      <w:r w:rsidRPr="00113E09">
        <w:rPr>
          <w:vertAlign w:val="superscript"/>
        </w:rPr>
        <w:t>3</w:t>
      </w:r>
      <w:r w:rsidR="0075256D" w:rsidRPr="00113E09">
        <w:rPr>
          <w:vertAlign w:val="superscript"/>
        </w:rPr>
        <w:t xml:space="preserve"> </w:t>
      </w:r>
      <w:r w:rsidR="0075256D" w:rsidRPr="00113E09">
        <w:t>(</w:t>
      </w:r>
      <w:bookmarkStart w:id="115" w:name="_Hlk17188902"/>
      <w:r w:rsidR="00617C14" w:rsidRPr="00113E09">
        <w:t>the 2006 24-hr PM</w:t>
      </w:r>
      <w:r w:rsidR="00617C14" w:rsidRPr="00113E09">
        <w:rPr>
          <w:vertAlign w:val="subscript"/>
        </w:rPr>
        <w:t>2.5</w:t>
      </w:r>
      <w:r w:rsidR="00617C14" w:rsidRPr="00113E09">
        <w:t xml:space="preserve"> standard of 35.0 µg/m</w:t>
      </w:r>
      <w:r w:rsidR="00617C14" w:rsidRPr="00113E09">
        <w:rPr>
          <w:vertAlign w:val="superscript"/>
        </w:rPr>
        <w:t>3</w:t>
      </w:r>
      <w:r w:rsidR="00617C14" w:rsidRPr="00113E09">
        <w:t xml:space="preserve"> minus the initial 2035 FDV of</w:t>
      </w:r>
      <w:bookmarkEnd w:id="115"/>
      <w:r w:rsidR="0075256D" w:rsidRPr="00113E09">
        <w:t xml:space="preserve"> 33.</w:t>
      </w:r>
      <w:r w:rsidR="00D13B88" w:rsidRPr="00113E09">
        <w:t>2</w:t>
      </w:r>
      <w:r w:rsidR="00617C14" w:rsidRPr="00113E09">
        <w:t xml:space="preserve"> µg/m</w:t>
      </w:r>
      <w:r w:rsidR="00617C14" w:rsidRPr="00113E09">
        <w:rPr>
          <w:vertAlign w:val="superscript"/>
        </w:rPr>
        <w:t>3</w:t>
      </w:r>
      <w:r w:rsidR="0075256D" w:rsidRPr="00113E09">
        <w:t>)</w:t>
      </w:r>
      <w:r w:rsidRPr="00113E09">
        <w:t xml:space="preserve">. </w:t>
      </w:r>
      <w:r w:rsidRPr="00113E09">
        <w:rPr>
          <w:szCs w:val="24"/>
        </w:rPr>
        <w:t>To evaluate the portion of safety margin that could be allocated to the MVEB</w:t>
      </w:r>
      <w:r w:rsidR="00CF1697" w:rsidRPr="00113E09">
        <w:rPr>
          <w:szCs w:val="24"/>
        </w:rPr>
        <w:t>s</w:t>
      </w:r>
      <w:r w:rsidRPr="00113E09">
        <w:rPr>
          <w:szCs w:val="24"/>
        </w:rPr>
        <w:t>, modeling was re-run for 2035</w:t>
      </w:r>
      <w:r w:rsidR="00634E93" w:rsidRPr="00113E09">
        <w:rPr>
          <w:szCs w:val="24"/>
        </w:rPr>
        <w:t xml:space="preserve"> u</w:t>
      </w:r>
      <w:r w:rsidR="00634E93" w:rsidRPr="00113E09">
        <w:t>sing the same emission projections for point, area and non-road mobile sources</w:t>
      </w:r>
      <w:r w:rsidRPr="00113E09">
        <w:rPr>
          <w:szCs w:val="24"/>
        </w:rPr>
        <w:t xml:space="preserve"> with additional emissions attribute</w:t>
      </w:r>
      <w:r w:rsidR="00F964BC" w:rsidRPr="00113E09">
        <w:rPr>
          <w:szCs w:val="24"/>
        </w:rPr>
        <w:t>d to the on-road mobile source</w:t>
      </w:r>
      <w:r w:rsidR="00362DEF" w:rsidRPr="00113E09">
        <w:rPr>
          <w:szCs w:val="24"/>
        </w:rPr>
        <w:t xml:space="preserve"> (see 2</w:t>
      </w:r>
      <w:r w:rsidR="00362DEF" w:rsidRPr="00113E09">
        <w:rPr>
          <w:szCs w:val="24"/>
          <w:vertAlign w:val="superscript"/>
        </w:rPr>
        <w:t>nd</w:t>
      </w:r>
      <w:r w:rsidR="00362DEF" w:rsidRPr="00113E09">
        <w:rPr>
          <w:szCs w:val="24"/>
        </w:rPr>
        <w:t xml:space="preserve"> row of Table </w:t>
      </w:r>
      <w:r w:rsidR="00362DEF" w:rsidRPr="00113E09">
        <w:t>IX.</w:t>
      </w:r>
      <w:r w:rsidR="000E00AC" w:rsidRPr="00113E09">
        <w:t>A.</w:t>
      </w:r>
      <w:r w:rsidR="00362DEF" w:rsidRPr="00113E09">
        <w:t>36.</w:t>
      </w:r>
      <w:r w:rsidR="00DC5F92" w:rsidRPr="00113E09">
        <w:t>1</w:t>
      </w:r>
      <w:r w:rsidR="005864A4" w:rsidRPr="00113E09">
        <w:t>1</w:t>
      </w:r>
      <w:r w:rsidR="004E2EEB" w:rsidRPr="00113E09">
        <w:t>,</w:t>
      </w:r>
      <w:r w:rsidR="00634E93" w:rsidRPr="00113E09">
        <w:t xml:space="preserve"> </w:t>
      </w:r>
      <w:r w:rsidR="004E2EEB" w:rsidRPr="00113E09">
        <w:t xml:space="preserve">Additional Tons Per Day </w:t>
      </w:r>
      <w:r w:rsidR="00362DEF" w:rsidRPr="00113E09">
        <w:t xml:space="preserve">from </w:t>
      </w:r>
      <w:r w:rsidR="004E2EEB" w:rsidRPr="00113E09">
        <w:t>Safety Margin</w:t>
      </w:r>
      <w:r w:rsidR="00362DEF" w:rsidRPr="00113E09">
        <w:t>)</w:t>
      </w:r>
      <w:r w:rsidR="00F964BC" w:rsidRPr="00113E09">
        <w:t>. The revised maintenance demonstration for 2035 still shows maintenance of the PM</w:t>
      </w:r>
      <w:r w:rsidR="00F964BC" w:rsidRPr="00113E09">
        <w:rPr>
          <w:vertAlign w:val="subscript"/>
        </w:rPr>
        <w:t>2.5</w:t>
      </w:r>
      <w:r w:rsidR="00F964BC" w:rsidRPr="00113E09">
        <w:t xml:space="preserve"> standard. </w:t>
      </w:r>
      <w:r w:rsidR="00EA4F02" w:rsidRPr="00113E09">
        <w:t>It estimates a maximum PM</w:t>
      </w:r>
      <w:r w:rsidR="00EA4F02" w:rsidRPr="00113E09">
        <w:rPr>
          <w:vertAlign w:val="subscript"/>
        </w:rPr>
        <w:t>2.5</w:t>
      </w:r>
      <w:r w:rsidR="00EA4F02" w:rsidRPr="00113E09">
        <w:t xml:space="preserve"> concentration of 3</w:t>
      </w:r>
      <w:r w:rsidR="00BF46D8" w:rsidRPr="00113E09">
        <w:t>3.</w:t>
      </w:r>
      <w:r w:rsidR="00D13B88" w:rsidRPr="00113E09">
        <w:t>6</w:t>
      </w:r>
      <w:r w:rsidR="00EA4F02" w:rsidRPr="00113E09">
        <w:t xml:space="preserve"> </w:t>
      </w:r>
      <w:bookmarkStart w:id="116" w:name="_Hlk14780643"/>
      <w:r w:rsidR="00EA4F02" w:rsidRPr="00113E09">
        <w:t>µg</w:t>
      </w:r>
      <w:bookmarkEnd w:id="116"/>
      <w:r w:rsidR="00EA4F02" w:rsidRPr="00113E09">
        <w:t>/m</w:t>
      </w:r>
      <w:r w:rsidR="00EA4F02" w:rsidRPr="00113E09">
        <w:rPr>
          <w:vertAlign w:val="superscript"/>
        </w:rPr>
        <w:t>3</w:t>
      </w:r>
      <w:r w:rsidR="00EA4F02" w:rsidRPr="00113E09">
        <w:t xml:space="preserve"> in 2035 within the SLC NAA p</w:t>
      </w:r>
      <w:r w:rsidR="00D67E13" w:rsidRPr="00113E09">
        <w:t>ortion of the modeling domain</w:t>
      </w:r>
      <w:r w:rsidR="00025139" w:rsidRPr="00113E09">
        <w:t>, allocating .</w:t>
      </w:r>
      <w:r w:rsidR="00D13B88" w:rsidRPr="00113E09">
        <w:t>4</w:t>
      </w:r>
      <w:r w:rsidR="00025139" w:rsidRPr="00113E09">
        <w:t xml:space="preserve"> µg</w:t>
      </w:r>
      <w:r w:rsidR="00025139" w:rsidRPr="00113E09">
        <w:rPr>
          <w:szCs w:val="24"/>
        </w:rPr>
        <w:t xml:space="preserve"> of the safety margin to on-road mobile emissions for the WFRC MVEB. </w:t>
      </w:r>
      <w:r w:rsidR="00634E93" w:rsidRPr="00113E09">
        <w:rPr>
          <w:szCs w:val="24"/>
        </w:rPr>
        <w:t xml:space="preserve">The final 2035 MVEB for WFRC is listed in the last row of Table </w:t>
      </w:r>
      <w:r w:rsidR="00634E93" w:rsidRPr="00113E09">
        <w:t>IX.</w:t>
      </w:r>
      <w:r w:rsidR="000E00AC" w:rsidRPr="00113E09">
        <w:t>A.</w:t>
      </w:r>
      <w:r w:rsidR="00634E93" w:rsidRPr="00113E09">
        <w:t>36.</w:t>
      </w:r>
      <w:r w:rsidR="00DC5F92" w:rsidRPr="00113E09">
        <w:t>1</w:t>
      </w:r>
      <w:r w:rsidR="005864A4" w:rsidRPr="00113E09">
        <w:t>1</w:t>
      </w:r>
      <w:r w:rsidR="001B4FE2" w:rsidRPr="00113E09">
        <w:t>. The final WFRC MVEB is adjusted since Tooele and Box Elder counties are partially within the SLC NAA.</w:t>
      </w:r>
    </w:p>
    <w:p w14:paraId="60382D65" w14:textId="66326D0E" w:rsidR="004C0004" w:rsidRDefault="004C0004" w:rsidP="005E7267">
      <w:pPr>
        <w:rPr>
          <w:szCs w:val="24"/>
        </w:rPr>
      </w:pPr>
    </w:p>
    <w:p w14:paraId="378EAB78" w14:textId="7754FE52" w:rsidR="004C0004" w:rsidRDefault="004C0004" w:rsidP="005E7267">
      <w:pPr>
        <w:rPr>
          <w:szCs w:val="24"/>
        </w:rPr>
      </w:pPr>
    </w:p>
    <w:p w14:paraId="12AD86EE" w14:textId="261E04BF" w:rsidR="004C0004" w:rsidRDefault="004C0004" w:rsidP="005E7267">
      <w:pPr>
        <w:rPr>
          <w:szCs w:val="24"/>
        </w:rPr>
      </w:pPr>
    </w:p>
    <w:p w14:paraId="68A8D446" w14:textId="2FE466CF" w:rsidR="004C0004" w:rsidRDefault="004C0004" w:rsidP="005E7267">
      <w:pPr>
        <w:rPr>
          <w:szCs w:val="24"/>
        </w:rPr>
      </w:pPr>
    </w:p>
    <w:p w14:paraId="6848E3D2" w14:textId="77777777" w:rsidR="004C0004" w:rsidRPr="001B4FE2" w:rsidRDefault="004C0004" w:rsidP="005E7267">
      <w:pPr>
        <w:rPr>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690"/>
        <w:gridCol w:w="1350"/>
        <w:gridCol w:w="1260"/>
        <w:gridCol w:w="1170"/>
        <w:gridCol w:w="1890"/>
      </w:tblGrid>
      <w:tr w:rsidR="00905A4E" w14:paraId="64ED057F" w14:textId="77777777" w:rsidTr="001B4FE2">
        <w:tc>
          <w:tcPr>
            <w:tcW w:w="3690" w:type="dxa"/>
            <w:shd w:val="clear" w:color="auto" w:fill="D9D9D9" w:themeFill="background1" w:themeFillShade="D9"/>
          </w:tcPr>
          <w:p w14:paraId="71C3593F" w14:textId="77777777" w:rsidR="00637DA2" w:rsidRPr="00B0011E" w:rsidRDefault="00637DA2" w:rsidP="00C330D6">
            <w:pPr>
              <w:rPr>
                <w:rFonts w:ascii="Arial" w:hAnsi="Arial" w:cs="Arial"/>
                <w:sz w:val="20"/>
                <w:szCs w:val="20"/>
              </w:rPr>
            </w:pPr>
          </w:p>
        </w:tc>
        <w:tc>
          <w:tcPr>
            <w:tcW w:w="1350" w:type="dxa"/>
            <w:shd w:val="clear" w:color="auto" w:fill="D9D9D9" w:themeFill="background1" w:themeFillShade="D9"/>
          </w:tcPr>
          <w:p w14:paraId="6E43C4D0" w14:textId="71EC3A22" w:rsidR="00637DA2" w:rsidRPr="00B0011E" w:rsidRDefault="00637DA2" w:rsidP="001B4FE2">
            <w:pPr>
              <w:rPr>
                <w:rFonts w:ascii="Arial" w:hAnsi="Arial" w:cs="Arial"/>
                <w:sz w:val="20"/>
                <w:szCs w:val="20"/>
                <w:vertAlign w:val="subscript"/>
              </w:rPr>
            </w:pPr>
            <w:r w:rsidRPr="00B0011E">
              <w:rPr>
                <w:rFonts w:ascii="Arial" w:hAnsi="Arial" w:cs="Arial"/>
                <w:sz w:val="20"/>
                <w:szCs w:val="20"/>
              </w:rPr>
              <w:t>Direct PM</w:t>
            </w:r>
            <w:r w:rsidR="007E7565" w:rsidRPr="00B0011E">
              <w:rPr>
                <w:rFonts w:ascii="Arial" w:hAnsi="Arial" w:cs="Arial"/>
                <w:sz w:val="20"/>
                <w:szCs w:val="20"/>
                <w:vertAlign w:val="subscript"/>
              </w:rPr>
              <w:t>2.5</w:t>
            </w:r>
          </w:p>
        </w:tc>
        <w:tc>
          <w:tcPr>
            <w:tcW w:w="1260" w:type="dxa"/>
            <w:shd w:val="clear" w:color="auto" w:fill="D9D9D9" w:themeFill="background1" w:themeFillShade="D9"/>
          </w:tcPr>
          <w:p w14:paraId="38E25460" w14:textId="77777777" w:rsidR="00637DA2" w:rsidRPr="00B0011E" w:rsidRDefault="00637DA2" w:rsidP="001B4FE2">
            <w:pPr>
              <w:rPr>
                <w:rFonts w:ascii="Arial" w:hAnsi="Arial" w:cs="Arial"/>
                <w:sz w:val="20"/>
                <w:szCs w:val="20"/>
              </w:rPr>
            </w:pPr>
            <w:r w:rsidRPr="00B0011E">
              <w:rPr>
                <w:rFonts w:ascii="Arial" w:hAnsi="Arial" w:cs="Arial"/>
                <w:sz w:val="20"/>
                <w:szCs w:val="20"/>
              </w:rPr>
              <w:t>NO</w:t>
            </w:r>
            <w:r w:rsidR="00953EA1" w:rsidRPr="00B0011E">
              <w:rPr>
                <w:rFonts w:ascii="Arial" w:hAnsi="Arial" w:cs="Arial"/>
                <w:sz w:val="20"/>
                <w:szCs w:val="20"/>
                <w:vertAlign w:val="subscript"/>
              </w:rPr>
              <w:t>X</w:t>
            </w:r>
          </w:p>
        </w:tc>
        <w:tc>
          <w:tcPr>
            <w:tcW w:w="1170" w:type="dxa"/>
            <w:shd w:val="clear" w:color="auto" w:fill="D9D9D9" w:themeFill="background1" w:themeFillShade="D9"/>
          </w:tcPr>
          <w:p w14:paraId="5DCBC79B" w14:textId="77777777" w:rsidR="00637DA2" w:rsidRPr="00B0011E" w:rsidRDefault="00637DA2" w:rsidP="001B4FE2">
            <w:pPr>
              <w:rPr>
                <w:rFonts w:ascii="Arial" w:hAnsi="Arial" w:cs="Arial"/>
                <w:sz w:val="20"/>
                <w:szCs w:val="20"/>
              </w:rPr>
            </w:pPr>
            <w:r w:rsidRPr="00B0011E">
              <w:rPr>
                <w:rFonts w:ascii="Arial" w:hAnsi="Arial" w:cs="Arial"/>
                <w:sz w:val="20"/>
                <w:szCs w:val="20"/>
              </w:rPr>
              <w:t>VOC</w:t>
            </w:r>
          </w:p>
        </w:tc>
        <w:tc>
          <w:tcPr>
            <w:tcW w:w="1890" w:type="dxa"/>
            <w:shd w:val="clear" w:color="auto" w:fill="D9D9D9" w:themeFill="background1" w:themeFillShade="D9"/>
          </w:tcPr>
          <w:p w14:paraId="6DB57240" w14:textId="4E2CFB2E" w:rsidR="00637DA2" w:rsidRPr="00B0011E" w:rsidRDefault="00637DA2" w:rsidP="00637DA2">
            <w:pPr>
              <w:jc w:val="center"/>
              <w:rPr>
                <w:rFonts w:ascii="Arial" w:hAnsi="Arial" w:cs="Arial"/>
                <w:sz w:val="20"/>
                <w:szCs w:val="20"/>
              </w:rPr>
            </w:pPr>
            <w:r w:rsidRPr="00B0011E">
              <w:rPr>
                <w:rFonts w:ascii="Arial" w:hAnsi="Arial" w:cs="Arial"/>
                <w:sz w:val="20"/>
                <w:szCs w:val="20"/>
              </w:rPr>
              <w:t>Design Value</w:t>
            </w:r>
            <w:r w:rsidR="00FC5A0B" w:rsidRPr="00B0011E">
              <w:rPr>
                <w:rFonts w:ascii="Arial" w:hAnsi="Arial" w:cs="Arial"/>
                <w:sz w:val="20"/>
                <w:szCs w:val="20"/>
              </w:rPr>
              <w:t xml:space="preserve"> @ controlling monitor</w:t>
            </w:r>
          </w:p>
        </w:tc>
      </w:tr>
      <w:tr w:rsidR="00637DA2" w14:paraId="083137D3" w14:textId="77777777" w:rsidTr="001B4FE2">
        <w:tc>
          <w:tcPr>
            <w:tcW w:w="3690" w:type="dxa"/>
          </w:tcPr>
          <w:p w14:paraId="73F8C9E7" w14:textId="7C2EE52A" w:rsidR="00F6672C" w:rsidRPr="00B0011E" w:rsidRDefault="00637DA2" w:rsidP="001B4FE2">
            <w:pPr>
              <w:rPr>
                <w:rFonts w:ascii="Arial" w:hAnsi="Arial" w:cs="Arial"/>
                <w:sz w:val="20"/>
                <w:szCs w:val="20"/>
              </w:rPr>
            </w:pPr>
            <w:r w:rsidRPr="00B0011E">
              <w:rPr>
                <w:rFonts w:ascii="Arial" w:hAnsi="Arial" w:cs="Arial"/>
                <w:sz w:val="20"/>
                <w:szCs w:val="20"/>
              </w:rPr>
              <w:t>Original</w:t>
            </w:r>
            <w:r w:rsidR="001B4FE2">
              <w:rPr>
                <w:rFonts w:ascii="Arial" w:hAnsi="Arial" w:cs="Arial"/>
                <w:sz w:val="20"/>
                <w:szCs w:val="20"/>
              </w:rPr>
              <w:t xml:space="preserve"> </w:t>
            </w:r>
            <w:r w:rsidR="00D13B88">
              <w:rPr>
                <w:rFonts w:ascii="Arial" w:hAnsi="Arial" w:cs="Arial"/>
                <w:sz w:val="20"/>
                <w:szCs w:val="20"/>
              </w:rPr>
              <w:t>NAA</w:t>
            </w:r>
            <w:r w:rsidR="001B4FE2">
              <w:rPr>
                <w:rFonts w:ascii="Arial" w:hAnsi="Arial" w:cs="Arial"/>
                <w:sz w:val="20"/>
                <w:szCs w:val="20"/>
              </w:rPr>
              <w:t xml:space="preserve"> MVEB</w:t>
            </w:r>
          </w:p>
        </w:tc>
        <w:tc>
          <w:tcPr>
            <w:tcW w:w="1350" w:type="dxa"/>
            <w:vAlign w:val="bottom"/>
          </w:tcPr>
          <w:p w14:paraId="2A668AEC" w14:textId="47C15308" w:rsidR="00637DA2" w:rsidRPr="00B0011E" w:rsidRDefault="00D13B88" w:rsidP="00C330D6">
            <w:pPr>
              <w:rPr>
                <w:rFonts w:ascii="Arial" w:hAnsi="Arial" w:cs="Arial"/>
                <w:sz w:val="20"/>
                <w:szCs w:val="20"/>
              </w:rPr>
            </w:pPr>
            <w:r>
              <w:rPr>
                <w:rFonts w:ascii="Arial" w:hAnsi="Arial" w:cs="Arial"/>
                <w:sz w:val="20"/>
                <w:szCs w:val="20"/>
              </w:rPr>
              <w:t>1.04</w:t>
            </w:r>
          </w:p>
        </w:tc>
        <w:tc>
          <w:tcPr>
            <w:tcW w:w="1260" w:type="dxa"/>
            <w:vAlign w:val="bottom"/>
          </w:tcPr>
          <w:p w14:paraId="3AEC37B5" w14:textId="2C1C1EF1" w:rsidR="00637DA2" w:rsidRPr="00B0011E" w:rsidRDefault="00D13B88" w:rsidP="00C330D6">
            <w:pPr>
              <w:rPr>
                <w:rFonts w:ascii="Arial" w:hAnsi="Arial" w:cs="Arial"/>
                <w:sz w:val="20"/>
                <w:szCs w:val="20"/>
              </w:rPr>
            </w:pPr>
            <w:r>
              <w:rPr>
                <w:rFonts w:ascii="Arial" w:hAnsi="Arial" w:cs="Arial"/>
                <w:sz w:val="20"/>
                <w:szCs w:val="20"/>
              </w:rPr>
              <w:t>16.33</w:t>
            </w:r>
          </w:p>
        </w:tc>
        <w:tc>
          <w:tcPr>
            <w:tcW w:w="1170" w:type="dxa"/>
            <w:vAlign w:val="bottom"/>
          </w:tcPr>
          <w:p w14:paraId="1321E888" w14:textId="534C8548" w:rsidR="00637DA2" w:rsidRPr="00B0011E" w:rsidRDefault="00D13B88" w:rsidP="00C330D6">
            <w:pPr>
              <w:rPr>
                <w:rFonts w:ascii="Arial" w:hAnsi="Arial" w:cs="Arial"/>
                <w:sz w:val="20"/>
                <w:szCs w:val="20"/>
              </w:rPr>
            </w:pPr>
            <w:r>
              <w:rPr>
                <w:rFonts w:ascii="Arial" w:hAnsi="Arial" w:cs="Arial"/>
                <w:sz w:val="20"/>
                <w:szCs w:val="20"/>
              </w:rPr>
              <w:t>14.07</w:t>
            </w:r>
          </w:p>
        </w:tc>
        <w:tc>
          <w:tcPr>
            <w:tcW w:w="1890" w:type="dxa"/>
            <w:vAlign w:val="bottom"/>
          </w:tcPr>
          <w:p w14:paraId="16E271B7" w14:textId="62399C3E" w:rsidR="00637DA2" w:rsidRPr="00B0011E" w:rsidRDefault="00D13B88" w:rsidP="00837856">
            <w:pPr>
              <w:jc w:val="center"/>
              <w:rPr>
                <w:rFonts w:ascii="Arial" w:hAnsi="Arial" w:cs="Arial"/>
                <w:sz w:val="20"/>
                <w:szCs w:val="20"/>
              </w:rPr>
            </w:pPr>
            <w:r>
              <w:rPr>
                <w:rFonts w:ascii="Arial" w:hAnsi="Arial" w:cs="Arial"/>
                <w:sz w:val="20"/>
                <w:szCs w:val="20"/>
              </w:rPr>
              <w:t>33.2</w:t>
            </w:r>
            <w:r w:rsidR="00837856" w:rsidRPr="00B0011E">
              <w:rPr>
                <w:color w:val="FF0000"/>
                <w:sz w:val="20"/>
                <w:szCs w:val="20"/>
              </w:rPr>
              <w:t xml:space="preserve"> </w:t>
            </w:r>
            <w:r w:rsidR="00837856" w:rsidRPr="00B0011E">
              <w:rPr>
                <w:rFonts w:ascii="Arial" w:hAnsi="Arial" w:cs="Arial"/>
                <w:sz w:val="20"/>
                <w:szCs w:val="20"/>
              </w:rPr>
              <w:t>µg/m</w:t>
            </w:r>
            <w:r w:rsidR="00837856" w:rsidRPr="00B0011E">
              <w:rPr>
                <w:rFonts w:ascii="Arial" w:hAnsi="Arial" w:cs="Arial"/>
                <w:sz w:val="20"/>
                <w:szCs w:val="20"/>
                <w:vertAlign w:val="superscript"/>
              </w:rPr>
              <w:t>3</w:t>
            </w:r>
          </w:p>
        </w:tc>
      </w:tr>
      <w:tr w:rsidR="00637DA2" w14:paraId="3B3152A5" w14:textId="77777777" w:rsidTr="001B4FE2">
        <w:tc>
          <w:tcPr>
            <w:tcW w:w="3690" w:type="dxa"/>
          </w:tcPr>
          <w:p w14:paraId="633751EC" w14:textId="77777777" w:rsidR="00637DA2" w:rsidRPr="00B0011E" w:rsidRDefault="00637DA2" w:rsidP="00C330D6">
            <w:pPr>
              <w:rPr>
                <w:rFonts w:ascii="Arial" w:hAnsi="Arial" w:cs="Arial"/>
                <w:sz w:val="20"/>
                <w:szCs w:val="20"/>
              </w:rPr>
            </w:pPr>
            <w:r w:rsidRPr="00B0011E">
              <w:rPr>
                <w:rFonts w:ascii="Arial" w:hAnsi="Arial" w:cs="Arial"/>
                <w:sz w:val="20"/>
                <w:szCs w:val="20"/>
              </w:rPr>
              <w:t>Additional Tons Per Day</w:t>
            </w:r>
            <w:r w:rsidR="005D622D" w:rsidRPr="00B0011E">
              <w:rPr>
                <w:rFonts w:ascii="Arial" w:hAnsi="Arial" w:cs="Arial"/>
                <w:sz w:val="20"/>
                <w:szCs w:val="20"/>
              </w:rPr>
              <w:t xml:space="preserve"> from Safety Margin</w:t>
            </w:r>
          </w:p>
        </w:tc>
        <w:tc>
          <w:tcPr>
            <w:tcW w:w="1350" w:type="dxa"/>
            <w:vAlign w:val="bottom"/>
          </w:tcPr>
          <w:p w14:paraId="5C4EB462" w14:textId="572BE03F" w:rsidR="00637DA2" w:rsidRPr="00B0011E" w:rsidRDefault="00E70B7A" w:rsidP="00C330D6">
            <w:pPr>
              <w:rPr>
                <w:rFonts w:ascii="Arial" w:hAnsi="Arial" w:cs="Arial"/>
                <w:sz w:val="20"/>
                <w:szCs w:val="20"/>
              </w:rPr>
            </w:pPr>
            <w:r w:rsidRPr="00B0011E">
              <w:rPr>
                <w:rFonts w:ascii="Arial" w:hAnsi="Arial" w:cs="Arial"/>
                <w:sz w:val="20"/>
                <w:szCs w:val="20"/>
              </w:rPr>
              <w:t>0.3</w:t>
            </w:r>
            <w:r w:rsidR="00D13B88">
              <w:rPr>
                <w:rFonts w:ascii="Arial" w:hAnsi="Arial" w:cs="Arial"/>
                <w:sz w:val="20"/>
                <w:szCs w:val="20"/>
              </w:rPr>
              <w:t>4</w:t>
            </w:r>
          </w:p>
        </w:tc>
        <w:tc>
          <w:tcPr>
            <w:tcW w:w="1260" w:type="dxa"/>
            <w:vAlign w:val="bottom"/>
          </w:tcPr>
          <w:p w14:paraId="526AF1C9" w14:textId="6ED58F44" w:rsidR="00637DA2" w:rsidRPr="00B0011E" w:rsidRDefault="00D13B88" w:rsidP="00C330D6">
            <w:pPr>
              <w:rPr>
                <w:rFonts w:ascii="Arial" w:hAnsi="Arial" w:cs="Arial"/>
                <w:sz w:val="20"/>
                <w:szCs w:val="20"/>
              </w:rPr>
            </w:pPr>
            <w:r>
              <w:rPr>
                <w:rFonts w:ascii="Arial" w:hAnsi="Arial" w:cs="Arial"/>
                <w:sz w:val="20"/>
                <w:szCs w:val="20"/>
              </w:rPr>
              <w:t>5.30</w:t>
            </w:r>
          </w:p>
        </w:tc>
        <w:tc>
          <w:tcPr>
            <w:tcW w:w="1170" w:type="dxa"/>
            <w:vAlign w:val="bottom"/>
          </w:tcPr>
          <w:p w14:paraId="6BCA9238" w14:textId="606E0D7C" w:rsidR="00637DA2" w:rsidRPr="00B0011E" w:rsidRDefault="00D13B88" w:rsidP="00C330D6">
            <w:pPr>
              <w:rPr>
                <w:rFonts w:ascii="Arial" w:hAnsi="Arial" w:cs="Arial"/>
                <w:sz w:val="20"/>
                <w:szCs w:val="20"/>
              </w:rPr>
            </w:pPr>
            <w:r>
              <w:rPr>
                <w:rFonts w:ascii="Arial" w:hAnsi="Arial" w:cs="Arial"/>
                <w:sz w:val="20"/>
                <w:szCs w:val="20"/>
              </w:rPr>
              <w:t>6.50</w:t>
            </w:r>
          </w:p>
        </w:tc>
        <w:tc>
          <w:tcPr>
            <w:tcW w:w="1890" w:type="dxa"/>
            <w:vAlign w:val="bottom"/>
          </w:tcPr>
          <w:p w14:paraId="55586541" w14:textId="03611DC6" w:rsidR="00637DA2" w:rsidRPr="00B0011E" w:rsidRDefault="00837856" w:rsidP="00837856">
            <w:pPr>
              <w:jc w:val="center"/>
              <w:rPr>
                <w:rFonts w:ascii="Arial" w:hAnsi="Arial" w:cs="Arial"/>
                <w:sz w:val="20"/>
                <w:szCs w:val="20"/>
              </w:rPr>
            </w:pPr>
            <w:r w:rsidRPr="00B0011E">
              <w:rPr>
                <w:rFonts w:ascii="Arial" w:hAnsi="Arial" w:cs="Arial"/>
                <w:sz w:val="20"/>
                <w:szCs w:val="20"/>
              </w:rPr>
              <w:t>--</w:t>
            </w:r>
          </w:p>
        </w:tc>
      </w:tr>
      <w:tr w:rsidR="00F6672C" w14:paraId="0A476B8C" w14:textId="77777777" w:rsidTr="001B4FE2">
        <w:tc>
          <w:tcPr>
            <w:tcW w:w="3690" w:type="dxa"/>
          </w:tcPr>
          <w:p w14:paraId="381CDF56" w14:textId="360E24F2" w:rsidR="00F6672C" w:rsidRPr="00B0011E" w:rsidRDefault="00F6672C" w:rsidP="00C330D6">
            <w:pPr>
              <w:rPr>
                <w:rFonts w:ascii="Arial" w:hAnsi="Arial" w:cs="Arial"/>
                <w:sz w:val="20"/>
                <w:szCs w:val="20"/>
              </w:rPr>
            </w:pPr>
            <w:r w:rsidRPr="00B0011E">
              <w:rPr>
                <w:rFonts w:ascii="Arial" w:hAnsi="Arial" w:cs="Arial"/>
                <w:sz w:val="20"/>
                <w:szCs w:val="20"/>
              </w:rPr>
              <w:t xml:space="preserve">Final WFRC MVEB </w:t>
            </w:r>
          </w:p>
        </w:tc>
        <w:tc>
          <w:tcPr>
            <w:tcW w:w="1350" w:type="dxa"/>
            <w:vAlign w:val="bottom"/>
          </w:tcPr>
          <w:p w14:paraId="46B0A63B" w14:textId="5BF62CA1" w:rsidR="00F6672C" w:rsidRPr="00B0011E" w:rsidRDefault="00D13B88" w:rsidP="00C330D6">
            <w:pPr>
              <w:rPr>
                <w:rFonts w:ascii="Arial" w:hAnsi="Arial" w:cs="Arial"/>
                <w:sz w:val="20"/>
                <w:szCs w:val="20"/>
              </w:rPr>
            </w:pPr>
            <w:r>
              <w:rPr>
                <w:rFonts w:ascii="Arial" w:hAnsi="Arial" w:cs="Arial"/>
                <w:sz w:val="20"/>
                <w:szCs w:val="20"/>
              </w:rPr>
              <w:t>1.38</w:t>
            </w:r>
          </w:p>
        </w:tc>
        <w:tc>
          <w:tcPr>
            <w:tcW w:w="1260" w:type="dxa"/>
            <w:vAlign w:val="bottom"/>
          </w:tcPr>
          <w:p w14:paraId="01E603EC" w14:textId="5FC6F979" w:rsidR="00F6672C" w:rsidRPr="00B0011E" w:rsidRDefault="00D13B88" w:rsidP="00C330D6">
            <w:pPr>
              <w:rPr>
                <w:rFonts w:ascii="Arial" w:hAnsi="Arial" w:cs="Arial"/>
                <w:sz w:val="20"/>
                <w:szCs w:val="20"/>
              </w:rPr>
            </w:pPr>
            <w:r>
              <w:rPr>
                <w:rFonts w:ascii="Arial" w:hAnsi="Arial" w:cs="Arial"/>
                <w:sz w:val="20"/>
                <w:szCs w:val="20"/>
              </w:rPr>
              <w:t>21.63</w:t>
            </w:r>
          </w:p>
        </w:tc>
        <w:tc>
          <w:tcPr>
            <w:tcW w:w="1170" w:type="dxa"/>
            <w:vAlign w:val="bottom"/>
          </w:tcPr>
          <w:p w14:paraId="70312A15" w14:textId="13C2ACCF" w:rsidR="00F6672C" w:rsidRPr="00B0011E" w:rsidRDefault="00D13B88" w:rsidP="00C330D6">
            <w:pPr>
              <w:rPr>
                <w:rFonts w:ascii="Arial" w:hAnsi="Arial" w:cs="Arial"/>
                <w:sz w:val="20"/>
                <w:szCs w:val="20"/>
              </w:rPr>
            </w:pPr>
            <w:r>
              <w:rPr>
                <w:rFonts w:ascii="Arial" w:hAnsi="Arial" w:cs="Arial"/>
                <w:sz w:val="20"/>
                <w:szCs w:val="20"/>
              </w:rPr>
              <w:t>20.57</w:t>
            </w:r>
          </w:p>
        </w:tc>
        <w:tc>
          <w:tcPr>
            <w:tcW w:w="1890" w:type="dxa"/>
            <w:vAlign w:val="bottom"/>
          </w:tcPr>
          <w:p w14:paraId="29284E0F" w14:textId="591F9892" w:rsidR="00F6672C" w:rsidRPr="00B0011E" w:rsidRDefault="00D13B88" w:rsidP="00992420">
            <w:pPr>
              <w:keepNext/>
              <w:jc w:val="center"/>
              <w:rPr>
                <w:rFonts w:ascii="Arial" w:hAnsi="Arial" w:cs="Arial"/>
                <w:sz w:val="20"/>
                <w:szCs w:val="20"/>
              </w:rPr>
            </w:pPr>
            <w:r>
              <w:rPr>
                <w:rFonts w:ascii="Arial" w:hAnsi="Arial" w:cs="Arial"/>
                <w:sz w:val="20"/>
                <w:szCs w:val="20"/>
              </w:rPr>
              <w:t xml:space="preserve">33.6 </w:t>
            </w:r>
            <w:r w:rsidRPr="00B0011E">
              <w:rPr>
                <w:rFonts w:ascii="Arial" w:hAnsi="Arial" w:cs="Arial"/>
                <w:sz w:val="20"/>
                <w:szCs w:val="20"/>
              </w:rPr>
              <w:t>µg/m</w:t>
            </w:r>
            <w:r w:rsidRPr="00B0011E">
              <w:rPr>
                <w:rFonts w:ascii="Arial" w:hAnsi="Arial" w:cs="Arial"/>
                <w:sz w:val="20"/>
                <w:szCs w:val="20"/>
                <w:vertAlign w:val="superscript"/>
              </w:rPr>
              <w:t>3</w:t>
            </w:r>
          </w:p>
        </w:tc>
      </w:tr>
    </w:tbl>
    <w:p w14:paraId="7461926B" w14:textId="7CD18F04" w:rsidR="00992420" w:rsidRPr="00113E09" w:rsidRDefault="00992420" w:rsidP="00992420">
      <w:pPr>
        <w:pStyle w:val="Caption"/>
        <w:rPr>
          <w:color w:val="auto"/>
        </w:rPr>
      </w:pPr>
      <w:bookmarkStart w:id="117" w:name="_Toc17269001"/>
      <w:bookmarkStart w:id="118" w:name="_Toc16156408"/>
      <w:bookmarkStart w:id="119" w:name="_Toc16162943"/>
      <w:r w:rsidRPr="00113E09">
        <w:rPr>
          <w:color w:val="auto"/>
        </w:rPr>
        <w:t xml:space="preserve">Table IX.A.36. </w:t>
      </w:r>
      <w:r w:rsidR="00767843" w:rsidRPr="00113E09">
        <w:rPr>
          <w:color w:val="auto"/>
        </w:rPr>
        <w:fldChar w:fldCharType="begin"/>
      </w:r>
      <w:r w:rsidR="00767843" w:rsidRPr="00113E09">
        <w:rPr>
          <w:color w:val="auto"/>
        </w:rPr>
        <w:instrText xml:space="preserve"> SEQ Table_IX.A.36. \* ARABIC </w:instrText>
      </w:r>
      <w:r w:rsidR="00767843" w:rsidRPr="00113E09">
        <w:rPr>
          <w:color w:val="auto"/>
        </w:rPr>
        <w:fldChar w:fldCharType="separate"/>
      </w:r>
      <w:r w:rsidR="00767843">
        <w:rPr>
          <w:noProof/>
          <w:color w:val="auto"/>
        </w:rPr>
        <w:t>11</w:t>
      </w:r>
      <w:r w:rsidR="00767843" w:rsidRPr="00113E09">
        <w:rPr>
          <w:noProof/>
          <w:color w:val="auto"/>
        </w:rPr>
        <w:fldChar w:fldCharType="end"/>
      </w:r>
      <w:r w:rsidR="003405D6" w:rsidRPr="00113E09">
        <w:rPr>
          <w:color w:val="auto"/>
        </w:rPr>
        <w:t xml:space="preserve"> 2035</w:t>
      </w:r>
      <w:r w:rsidRPr="00113E09">
        <w:rPr>
          <w:color w:val="auto"/>
        </w:rPr>
        <w:t xml:space="preserve"> Wasatch Front Regional Council Motor Vehicle Emissions Budget</w:t>
      </w:r>
      <w:bookmarkEnd w:id="117"/>
      <w:r w:rsidR="001512A2" w:rsidRPr="00113E09">
        <w:rPr>
          <w:color w:val="auto"/>
        </w:rPr>
        <w:t xml:space="preserve"> in Tons per Winter Weekday</w:t>
      </w:r>
    </w:p>
    <w:p w14:paraId="576F8055" w14:textId="51B9412B" w:rsidR="00992420" w:rsidRPr="00113E09" w:rsidRDefault="00992420">
      <w:pPr>
        <w:pStyle w:val="Caption"/>
        <w:rPr>
          <w:color w:val="auto"/>
        </w:rPr>
      </w:pPr>
    </w:p>
    <w:bookmarkEnd w:id="118"/>
    <w:bookmarkEnd w:id="119"/>
    <w:p w14:paraId="11BC5B85" w14:textId="3363DBE0" w:rsidR="004B2559" w:rsidRPr="00113E09" w:rsidRDefault="004B2559" w:rsidP="004B2559">
      <w:r w:rsidRPr="00113E09">
        <w:t>It is important to note that the MVEBs presented in Tabl</w:t>
      </w:r>
      <w:r w:rsidR="006F16C6" w:rsidRPr="00113E09">
        <w:t>e IX.A.36.</w:t>
      </w:r>
      <w:r w:rsidR="00DC5F92" w:rsidRPr="00113E09">
        <w:t>1</w:t>
      </w:r>
      <w:r w:rsidR="005864A4" w:rsidRPr="00113E09">
        <w:t>1</w:t>
      </w:r>
      <w:r w:rsidRPr="00113E09">
        <w:t xml:space="preserve"> are somewhat different from the </w:t>
      </w:r>
      <w:r w:rsidR="006F16C6" w:rsidRPr="00113E09">
        <w:t xml:space="preserve">on-road </w:t>
      </w:r>
      <w:r w:rsidR="00CB2E10" w:rsidRPr="00113E09">
        <w:t>s</w:t>
      </w:r>
      <w:r w:rsidRPr="00113E09">
        <w:t xml:space="preserve">ummary </w:t>
      </w:r>
      <w:r w:rsidR="00CB2E10" w:rsidRPr="00113E09">
        <w:t>e</w:t>
      </w:r>
      <w:r w:rsidRPr="00113E09">
        <w:t xml:space="preserve">missions </w:t>
      </w:r>
      <w:r w:rsidR="00CB2E10" w:rsidRPr="00113E09">
        <w:t>i</w:t>
      </w:r>
      <w:r w:rsidRPr="00113E09">
        <w:t>nventory presented in Table</w:t>
      </w:r>
      <w:r w:rsidR="007A51D1" w:rsidRPr="00113E09">
        <w:t xml:space="preserve"> IX.A.36.</w:t>
      </w:r>
      <w:r w:rsidR="00DC5F92" w:rsidRPr="00113E09">
        <w:t>1</w:t>
      </w:r>
      <w:r w:rsidR="005864A4" w:rsidRPr="00113E09">
        <w:t>0</w:t>
      </w:r>
      <w:r w:rsidRPr="00113E09">
        <w:t>.</w:t>
      </w:r>
    </w:p>
    <w:p w14:paraId="020FCAA6" w14:textId="5054083C" w:rsidR="004B2559" w:rsidRPr="006A2777" w:rsidRDefault="004B2559" w:rsidP="004B2559">
      <w:r w:rsidRPr="00113E09">
        <w:t>Overall the emissions established as MVEBs are calculated using MOVES to reflect an average winter weekday. The totals presented in the</w:t>
      </w:r>
      <w:r w:rsidR="007B4A6B" w:rsidRPr="00113E09">
        <w:t xml:space="preserve"> summary emissions inventory (Table IX.A.36.</w:t>
      </w:r>
      <w:r w:rsidR="00DC5F92" w:rsidRPr="00113E09">
        <w:t>11</w:t>
      </w:r>
      <w:r w:rsidR="007B4A6B" w:rsidRPr="00113E09">
        <w:t>)</w:t>
      </w:r>
      <w:r w:rsidRPr="00113E09">
        <w:t>, however</w:t>
      </w:r>
      <w:r w:rsidRPr="006A2777">
        <w:t>, represent an average-episode-day. The episode used to make this average (December 31, 2010 through January 10</w:t>
      </w:r>
      <w:r w:rsidR="00BD38C7">
        <w:t>, 2011</w:t>
      </w:r>
      <w:r w:rsidRPr="006A2777">
        <w:t>) includes seven such winter weekdays, but also includes two weekends. Emissions produced on weekdays are significantly larger than those produced on both Saturdays and Sundays. Therefore, the weighted average of daily emissions calculated for an episode-day will be less than that of a weekday.</w:t>
      </w:r>
    </w:p>
    <w:p w14:paraId="4FC37486" w14:textId="3DB5EA63" w:rsidR="004B2559" w:rsidRDefault="004B2559" w:rsidP="004B2559">
      <w:r w:rsidRPr="006A2777">
        <w:t>There are also some conventions to be considered in the establishment of MVEBs. In particular</w:t>
      </w:r>
      <w:r w:rsidR="00252703">
        <w:t xml:space="preserve">, </w:t>
      </w:r>
      <w:r w:rsidRPr="006A2777">
        <w:t>PM</w:t>
      </w:r>
      <w:r w:rsidRPr="006A2777">
        <w:rPr>
          <w:vertAlign w:val="subscript"/>
        </w:rPr>
        <w:t>2.5</w:t>
      </w:r>
      <w:r w:rsidRPr="006A2777">
        <w:t xml:space="preserve"> in the </w:t>
      </w:r>
      <w:r w:rsidR="00252703">
        <w:t>summary emissions inventory</w:t>
      </w:r>
      <w:r w:rsidRPr="006A2777">
        <w:t xml:space="preserve"> totals includes direct exhaust, tire </w:t>
      </w:r>
      <w:r w:rsidR="0067319C">
        <w:t>and</w:t>
      </w:r>
      <w:r w:rsidRPr="006A2777">
        <w:t xml:space="preserve"> brake wear, and fugitive dust. For the MVEBs</w:t>
      </w:r>
      <w:r w:rsidR="00B86543">
        <w:t>,</w:t>
      </w:r>
      <w:r w:rsidRPr="006A2777">
        <w:t xml:space="preserve"> PM</w:t>
      </w:r>
      <w:r w:rsidRPr="006A2777">
        <w:rPr>
          <w:vertAlign w:val="subscript"/>
        </w:rPr>
        <w:t>2.5</w:t>
      </w:r>
      <w:r w:rsidRPr="006A2777">
        <w:t xml:space="preserve"> includes direct exhaust, tire </w:t>
      </w:r>
      <w:r w:rsidR="0067319C">
        <w:t>and</w:t>
      </w:r>
      <w:r w:rsidRPr="006A2777">
        <w:t xml:space="preserve"> brake but no fugitive dust.</w:t>
      </w:r>
      <w:r w:rsidR="00252703">
        <w:t xml:space="preserve"> </w:t>
      </w:r>
      <w:r w:rsidRPr="006A2777">
        <w:t>VOC emissions in the</w:t>
      </w:r>
      <w:r w:rsidR="00252703">
        <w:t xml:space="preserve"> summary emissions inventory</w:t>
      </w:r>
      <w:r w:rsidRPr="006A2777">
        <w:t xml:space="preserve"> include refueling spillage and displacement vapor loss</w:t>
      </w:r>
      <w:r w:rsidR="00272236">
        <w:t xml:space="preserve"> and are </w:t>
      </w:r>
      <w:r w:rsidR="00B411FE">
        <w:t>count</w:t>
      </w:r>
      <w:r w:rsidR="00272236">
        <w:t>ed in the on-road mobile category.</w:t>
      </w:r>
      <w:r w:rsidR="00E1707B">
        <w:t xml:space="preserve"> </w:t>
      </w:r>
      <w:r w:rsidRPr="006A2777">
        <w:t xml:space="preserve">MVEBs for VOC do not include these emissions because, in this context, they are regarded as an </w:t>
      </w:r>
      <w:r w:rsidR="0086532B">
        <w:t>a</w:t>
      </w:r>
      <w:r w:rsidRPr="006A2777">
        <w:t xml:space="preserve">rea </w:t>
      </w:r>
      <w:r w:rsidR="0086532B">
        <w:t>s</w:t>
      </w:r>
      <w:r w:rsidRPr="006A2777">
        <w:t>ource.</w:t>
      </w:r>
    </w:p>
    <w:p w14:paraId="7C3CADD0" w14:textId="77777777" w:rsidR="00270847" w:rsidRDefault="00270847" w:rsidP="00270847">
      <w:r w:rsidRPr="00A64BCF">
        <w:t>40 CFR 93.118((b)(2)(i)</w:t>
      </w:r>
      <w:r>
        <w:t xml:space="preserve"> also states “</w:t>
      </w:r>
      <w:r w:rsidRPr="00A64BCF">
        <w:t xml:space="preserve">If the maintenance plan does not establish motor vehicle emissions budgets for any years other than the last year of the maintenance plan, the conformity regulation requires that a "demonstration of consistency with the motor vehicle emissions budget(s) must be accompanied by a qualitative finding that there are not factors which would cause or contribute to a new violation or exacerbate an existing violation in the years before the last year of the maintenance plan." </w:t>
      </w:r>
    </w:p>
    <w:p w14:paraId="3EE50DFB" w14:textId="721B08C2" w:rsidR="00270847" w:rsidRDefault="00270847" w:rsidP="00270847">
      <w:bookmarkStart w:id="120" w:name="_Hlk15385172"/>
      <w:r>
        <w:t>Considering this,</w:t>
      </w:r>
      <w:r w:rsidR="00C16F74">
        <w:t xml:space="preserve"> it is useful to compare the </w:t>
      </w:r>
      <w:r w:rsidR="00FF7B38">
        <w:t>projected future design values in 2026 at all monitors in the NAA to the on-road</w:t>
      </w:r>
      <w:r w:rsidR="00907D7A">
        <w:t xml:space="preserve"> mobile</w:t>
      </w:r>
      <w:r w:rsidR="00FF7B38">
        <w:t xml:space="preserve"> </w:t>
      </w:r>
      <w:r w:rsidR="00FF7B38" w:rsidRPr="00113E09">
        <w:t>emission inventory as well as the percent of the total inventory that the on-road mobile sector comprises.</w:t>
      </w:r>
      <w:r w:rsidR="00DE4C23" w:rsidRPr="00113E09">
        <w:t xml:space="preserve"> As can be seen in Table IX.</w:t>
      </w:r>
      <w:r w:rsidR="00DB72AB" w:rsidRPr="00113E09">
        <w:t>A.</w:t>
      </w:r>
      <w:r w:rsidR="00DE4C23" w:rsidRPr="00113E09">
        <w:t>36.</w:t>
      </w:r>
      <w:r w:rsidR="00A12132" w:rsidRPr="00113E09">
        <w:t>9</w:t>
      </w:r>
      <w:r w:rsidR="00DE4C23" w:rsidRPr="00113E09">
        <w:t>, the design values throughout the SLC NAA range from 2</w:t>
      </w:r>
      <w:r w:rsidR="00A12132" w:rsidRPr="00113E09">
        <w:t>3.0</w:t>
      </w:r>
      <w:r w:rsidR="00DE4C23" w:rsidRPr="00113E09">
        <w:t xml:space="preserve"> to 33.5 µg/m</w:t>
      </w:r>
      <w:r w:rsidR="00DE4C23" w:rsidRPr="00113E09">
        <w:rPr>
          <w:vertAlign w:val="superscript"/>
        </w:rPr>
        <w:t>3</w:t>
      </w:r>
      <w:r w:rsidR="00DE4C23" w:rsidRPr="00113E09">
        <w:t xml:space="preserve">. The Rose Park monitor shows the highest value at 33.5 </w:t>
      </w:r>
      <w:bookmarkStart w:id="121" w:name="_Hlk15300939"/>
      <w:r w:rsidR="00DE4C23" w:rsidRPr="00113E09">
        <w:t>µg/m</w:t>
      </w:r>
      <w:r w:rsidR="00DE4C23" w:rsidRPr="00113E09">
        <w:rPr>
          <w:vertAlign w:val="superscript"/>
        </w:rPr>
        <w:t>3</w:t>
      </w:r>
      <w:bookmarkEnd w:id="121"/>
      <w:r w:rsidR="00DE4C23" w:rsidRPr="00113E09">
        <w:t>, which is still 1.5 µg/m</w:t>
      </w:r>
      <w:r w:rsidR="00DE4C23" w:rsidRPr="00113E09">
        <w:rPr>
          <w:vertAlign w:val="superscript"/>
        </w:rPr>
        <w:t>3</w:t>
      </w:r>
      <w:r w:rsidR="00DE4C23" w:rsidRPr="00113E09">
        <w:t xml:space="preserve"> below the standard. The on-road mobile source contribution to the overall inventory </w:t>
      </w:r>
      <w:r w:rsidR="00750285" w:rsidRPr="00113E09">
        <w:t>is shown in Table IX.</w:t>
      </w:r>
      <w:r w:rsidR="00DB72AB" w:rsidRPr="00113E09">
        <w:t>A.</w:t>
      </w:r>
      <w:r w:rsidR="00750285" w:rsidRPr="00113E09">
        <w:t>36.</w:t>
      </w:r>
      <w:r w:rsidR="00DB72AB" w:rsidRPr="00113E09">
        <w:t>1</w:t>
      </w:r>
      <w:r w:rsidR="005864A4" w:rsidRPr="00113E09">
        <w:t>2</w:t>
      </w:r>
      <w:r w:rsidR="005B0D8A" w:rsidRPr="00113E09">
        <w:t>.</w:t>
      </w:r>
    </w:p>
    <w:p w14:paraId="7789B6AF" w14:textId="793256E0" w:rsidR="004C0004" w:rsidRDefault="004C0004" w:rsidP="00270847"/>
    <w:p w14:paraId="1B3BC098" w14:textId="5E584C60" w:rsidR="004C0004" w:rsidRDefault="004C0004" w:rsidP="00270847"/>
    <w:p w14:paraId="7C76F1D0" w14:textId="77777777" w:rsidR="004C0004" w:rsidRDefault="004C0004" w:rsidP="00270847"/>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708"/>
        <w:gridCol w:w="1162"/>
        <w:gridCol w:w="1088"/>
        <w:gridCol w:w="990"/>
      </w:tblGrid>
      <w:tr w:rsidR="00DE4C23" w14:paraId="55A42C81" w14:textId="77777777" w:rsidTr="00742AB3">
        <w:tc>
          <w:tcPr>
            <w:tcW w:w="3708" w:type="dxa"/>
            <w:shd w:val="clear" w:color="auto" w:fill="D9D9D9" w:themeFill="background1" w:themeFillShade="D9"/>
          </w:tcPr>
          <w:p w14:paraId="255643F9" w14:textId="7F288E41" w:rsidR="00DE4C23" w:rsidRPr="00E7644E" w:rsidRDefault="00E7644E" w:rsidP="00270847">
            <w:pPr>
              <w:rPr>
                <w:rFonts w:ascii="Arial" w:hAnsi="Arial" w:cs="Arial"/>
                <w:b/>
                <w:sz w:val="20"/>
                <w:szCs w:val="20"/>
              </w:rPr>
            </w:pPr>
            <w:r w:rsidRPr="00E7644E">
              <w:rPr>
                <w:rFonts w:ascii="Arial" w:hAnsi="Arial" w:cs="Arial"/>
                <w:b/>
                <w:sz w:val="20"/>
                <w:szCs w:val="20"/>
              </w:rPr>
              <w:t>Emissions tons/day</w:t>
            </w:r>
          </w:p>
        </w:tc>
        <w:tc>
          <w:tcPr>
            <w:tcW w:w="1162" w:type="dxa"/>
            <w:shd w:val="clear" w:color="auto" w:fill="D9D9D9" w:themeFill="background1" w:themeFillShade="D9"/>
          </w:tcPr>
          <w:p w14:paraId="76FC722B" w14:textId="253AA557" w:rsidR="00DE4C23" w:rsidRPr="00A3485A" w:rsidRDefault="00DE4C23" w:rsidP="00A3485A">
            <w:pPr>
              <w:rPr>
                <w:rFonts w:ascii="Arial" w:hAnsi="Arial" w:cs="Arial"/>
                <w:b/>
                <w:sz w:val="20"/>
                <w:szCs w:val="20"/>
              </w:rPr>
            </w:pPr>
            <w:r w:rsidRPr="00A3485A">
              <w:rPr>
                <w:rFonts w:ascii="Arial" w:hAnsi="Arial" w:cs="Arial"/>
                <w:b/>
                <w:sz w:val="20"/>
                <w:szCs w:val="20"/>
              </w:rPr>
              <w:t>PM</w:t>
            </w:r>
            <w:r w:rsidRPr="00A3485A">
              <w:rPr>
                <w:rFonts w:ascii="Arial" w:hAnsi="Arial" w:cs="Arial"/>
                <w:b/>
                <w:sz w:val="20"/>
                <w:szCs w:val="20"/>
                <w:vertAlign w:val="subscript"/>
              </w:rPr>
              <w:t>2.5</w:t>
            </w:r>
          </w:p>
        </w:tc>
        <w:tc>
          <w:tcPr>
            <w:tcW w:w="1088" w:type="dxa"/>
            <w:shd w:val="clear" w:color="auto" w:fill="D9D9D9" w:themeFill="background1" w:themeFillShade="D9"/>
          </w:tcPr>
          <w:p w14:paraId="797A72FB" w14:textId="442D1CCE" w:rsidR="00DE4C23" w:rsidRPr="00A3485A" w:rsidRDefault="00DE4C23" w:rsidP="00A3485A">
            <w:pPr>
              <w:rPr>
                <w:rFonts w:ascii="Arial" w:hAnsi="Arial" w:cs="Arial"/>
                <w:b/>
                <w:sz w:val="20"/>
                <w:szCs w:val="20"/>
              </w:rPr>
            </w:pPr>
            <w:r w:rsidRPr="00A3485A">
              <w:rPr>
                <w:rFonts w:ascii="Arial" w:hAnsi="Arial" w:cs="Arial"/>
                <w:b/>
                <w:sz w:val="20"/>
                <w:szCs w:val="20"/>
              </w:rPr>
              <w:t>NO</w:t>
            </w:r>
            <w:r w:rsidRPr="00A3485A">
              <w:rPr>
                <w:rFonts w:ascii="Arial" w:hAnsi="Arial" w:cs="Arial"/>
                <w:b/>
                <w:sz w:val="20"/>
                <w:szCs w:val="20"/>
                <w:vertAlign w:val="subscript"/>
              </w:rPr>
              <w:t>X</w:t>
            </w:r>
          </w:p>
        </w:tc>
        <w:tc>
          <w:tcPr>
            <w:tcW w:w="990" w:type="dxa"/>
            <w:shd w:val="clear" w:color="auto" w:fill="D9D9D9" w:themeFill="background1" w:themeFillShade="D9"/>
          </w:tcPr>
          <w:p w14:paraId="699A0AFB" w14:textId="4B4DB948" w:rsidR="00DE4C23" w:rsidRPr="00A3485A" w:rsidRDefault="00DE4C23" w:rsidP="00A3485A">
            <w:pPr>
              <w:rPr>
                <w:rFonts w:ascii="Arial" w:hAnsi="Arial" w:cs="Arial"/>
                <w:b/>
                <w:sz w:val="20"/>
                <w:szCs w:val="20"/>
              </w:rPr>
            </w:pPr>
            <w:r w:rsidRPr="00A3485A">
              <w:rPr>
                <w:rFonts w:ascii="Arial" w:hAnsi="Arial" w:cs="Arial"/>
                <w:b/>
                <w:sz w:val="20"/>
                <w:szCs w:val="20"/>
              </w:rPr>
              <w:t>VOC</w:t>
            </w:r>
          </w:p>
        </w:tc>
      </w:tr>
      <w:tr w:rsidR="002B0923" w14:paraId="51F42BA0" w14:textId="77777777" w:rsidTr="00742AB3">
        <w:tc>
          <w:tcPr>
            <w:tcW w:w="3708" w:type="dxa"/>
          </w:tcPr>
          <w:p w14:paraId="2D312102" w14:textId="5B77D700" w:rsidR="002B0923" w:rsidRPr="00750285" w:rsidRDefault="002B0923" w:rsidP="00270847">
            <w:pPr>
              <w:rPr>
                <w:rFonts w:ascii="Arial" w:hAnsi="Arial" w:cs="Arial"/>
                <w:sz w:val="20"/>
                <w:szCs w:val="20"/>
              </w:rPr>
            </w:pPr>
            <w:r w:rsidRPr="00750285">
              <w:rPr>
                <w:rFonts w:ascii="Arial" w:hAnsi="Arial" w:cs="Arial"/>
                <w:sz w:val="20"/>
                <w:szCs w:val="20"/>
              </w:rPr>
              <w:lastRenderedPageBreak/>
              <w:t>2026 emission inventory total</w:t>
            </w:r>
          </w:p>
        </w:tc>
        <w:tc>
          <w:tcPr>
            <w:tcW w:w="1162" w:type="dxa"/>
          </w:tcPr>
          <w:p w14:paraId="50CC084A" w14:textId="5DBBD89B" w:rsidR="002B0923" w:rsidRPr="00750285" w:rsidRDefault="002B0923" w:rsidP="00A3485A">
            <w:pPr>
              <w:rPr>
                <w:rFonts w:ascii="Arial" w:hAnsi="Arial" w:cs="Arial"/>
                <w:sz w:val="20"/>
                <w:szCs w:val="20"/>
              </w:rPr>
            </w:pPr>
            <w:r w:rsidRPr="00750285">
              <w:rPr>
                <w:rFonts w:ascii="Arial" w:hAnsi="Arial" w:cs="Arial"/>
                <w:sz w:val="20"/>
                <w:szCs w:val="20"/>
              </w:rPr>
              <w:t>14.16</w:t>
            </w:r>
          </w:p>
        </w:tc>
        <w:tc>
          <w:tcPr>
            <w:tcW w:w="1088" w:type="dxa"/>
          </w:tcPr>
          <w:p w14:paraId="3E66F26C" w14:textId="1A718ECF" w:rsidR="002B0923" w:rsidRPr="00750285" w:rsidRDefault="002B0923" w:rsidP="00A3485A">
            <w:pPr>
              <w:rPr>
                <w:rFonts w:ascii="Arial" w:hAnsi="Arial" w:cs="Arial"/>
                <w:sz w:val="20"/>
                <w:szCs w:val="20"/>
              </w:rPr>
            </w:pPr>
            <w:r w:rsidRPr="00750285">
              <w:rPr>
                <w:rFonts w:ascii="Arial" w:hAnsi="Arial" w:cs="Arial"/>
                <w:sz w:val="20"/>
                <w:szCs w:val="20"/>
              </w:rPr>
              <w:t>62.21</w:t>
            </w:r>
          </w:p>
        </w:tc>
        <w:tc>
          <w:tcPr>
            <w:tcW w:w="990" w:type="dxa"/>
          </w:tcPr>
          <w:p w14:paraId="0E6EF686" w14:textId="5988DEED" w:rsidR="002B0923" w:rsidRPr="00750285" w:rsidRDefault="002B0923" w:rsidP="00A3485A">
            <w:pPr>
              <w:rPr>
                <w:rFonts w:ascii="Arial" w:hAnsi="Arial" w:cs="Arial"/>
                <w:sz w:val="20"/>
                <w:szCs w:val="20"/>
              </w:rPr>
            </w:pPr>
            <w:r w:rsidRPr="00750285">
              <w:rPr>
                <w:rFonts w:ascii="Arial" w:hAnsi="Arial" w:cs="Arial"/>
                <w:sz w:val="20"/>
                <w:szCs w:val="20"/>
              </w:rPr>
              <w:t>83.05</w:t>
            </w:r>
          </w:p>
        </w:tc>
      </w:tr>
      <w:tr w:rsidR="00DE4C23" w14:paraId="0078E28B" w14:textId="77777777" w:rsidTr="00742AB3">
        <w:tc>
          <w:tcPr>
            <w:tcW w:w="3708" w:type="dxa"/>
          </w:tcPr>
          <w:p w14:paraId="164C2B3B" w14:textId="7F56C3AF" w:rsidR="00DE4C23" w:rsidRPr="00750285" w:rsidRDefault="002B0923" w:rsidP="00270847">
            <w:pPr>
              <w:rPr>
                <w:rFonts w:ascii="Arial" w:hAnsi="Arial" w:cs="Arial"/>
                <w:sz w:val="20"/>
                <w:szCs w:val="20"/>
              </w:rPr>
            </w:pPr>
            <w:r w:rsidRPr="00750285">
              <w:rPr>
                <w:rFonts w:ascii="Arial" w:hAnsi="Arial" w:cs="Arial"/>
                <w:sz w:val="20"/>
                <w:szCs w:val="20"/>
              </w:rPr>
              <w:t>2026 on-road mobile inventory</w:t>
            </w:r>
          </w:p>
        </w:tc>
        <w:tc>
          <w:tcPr>
            <w:tcW w:w="1162" w:type="dxa"/>
          </w:tcPr>
          <w:p w14:paraId="2ABEA94D" w14:textId="120FAFE3" w:rsidR="00DE4C23" w:rsidRPr="00750285" w:rsidRDefault="002B0923" w:rsidP="00A3485A">
            <w:pPr>
              <w:rPr>
                <w:rFonts w:ascii="Arial" w:hAnsi="Arial" w:cs="Arial"/>
                <w:sz w:val="20"/>
                <w:szCs w:val="20"/>
              </w:rPr>
            </w:pPr>
            <w:r w:rsidRPr="00750285">
              <w:rPr>
                <w:rFonts w:ascii="Arial" w:hAnsi="Arial" w:cs="Arial"/>
                <w:sz w:val="20"/>
                <w:szCs w:val="20"/>
              </w:rPr>
              <w:t>1.35</w:t>
            </w:r>
          </w:p>
        </w:tc>
        <w:tc>
          <w:tcPr>
            <w:tcW w:w="1088" w:type="dxa"/>
          </w:tcPr>
          <w:p w14:paraId="03232C29" w14:textId="06DC50BC" w:rsidR="00DE4C23" w:rsidRPr="00750285" w:rsidRDefault="002B0923" w:rsidP="00A3485A">
            <w:pPr>
              <w:rPr>
                <w:rFonts w:ascii="Arial" w:hAnsi="Arial" w:cs="Arial"/>
                <w:sz w:val="20"/>
                <w:szCs w:val="20"/>
              </w:rPr>
            </w:pPr>
            <w:r w:rsidRPr="00750285">
              <w:rPr>
                <w:rFonts w:ascii="Arial" w:hAnsi="Arial" w:cs="Arial"/>
                <w:sz w:val="20"/>
                <w:szCs w:val="20"/>
              </w:rPr>
              <w:t>17.58</w:t>
            </w:r>
          </w:p>
        </w:tc>
        <w:tc>
          <w:tcPr>
            <w:tcW w:w="990" w:type="dxa"/>
          </w:tcPr>
          <w:p w14:paraId="7761DD6F" w14:textId="6EAC7D69" w:rsidR="00DE4C23" w:rsidRPr="00750285" w:rsidRDefault="002B0923" w:rsidP="00A3485A">
            <w:pPr>
              <w:rPr>
                <w:rFonts w:ascii="Arial" w:hAnsi="Arial" w:cs="Arial"/>
                <w:sz w:val="20"/>
                <w:szCs w:val="20"/>
              </w:rPr>
            </w:pPr>
            <w:r w:rsidRPr="00750285">
              <w:rPr>
                <w:rFonts w:ascii="Arial" w:hAnsi="Arial" w:cs="Arial"/>
                <w:sz w:val="20"/>
                <w:szCs w:val="20"/>
              </w:rPr>
              <w:t>18.93</w:t>
            </w:r>
          </w:p>
        </w:tc>
      </w:tr>
      <w:tr w:rsidR="002B0923" w14:paraId="2841ED14" w14:textId="77777777" w:rsidTr="00742AB3">
        <w:tc>
          <w:tcPr>
            <w:tcW w:w="3708" w:type="dxa"/>
          </w:tcPr>
          <w:p w14:paraId="5E407030" w14:textId="0ACDFF0C" w:rsidR="002B0923" w:rsidRPr="00750285" w:rsidRDefault="002B0923" w:rsidP="00270847">
            <w:pPr>
              <w:rPr>
                <w:rFonts w:ascii="Arial" w:hAnsi="Arial" w:cs="Arial"/>
                <w:sz w:val="20"/>
                <w:szCs w:val="20"/>
              </w:rPr>
            </w:pPr>
            <w:r w:rsidRPr="00750285">
              <w:rPr>
                <w:rFonts w:ascii="Arial" w:hAnsi="Arial" w:cs="Arial"/>
                <w:sz w:val="20"/>
                <w:szCs w:val="20"/>
              </w:rPr>
              <w:t>On-road mobile % of total inventory</w:t>
            </w:r>
          </w:p>
        </w:tc>
        <w:tc>
          <w:tcPr>
            <w:tcW w:w="1162" w:type="dxa"/>
          </w:tcPr>
          <w:p w14:paraId="691CD354" w14:textId="06D11AB8" w:rsidR="002B0923" w:rsidRPr="00750285" w:rsidRDefault="002B0923" w:rsidP="00A3485A">
            <w:pPr>
              <w:rPr>
                <w:rFonts w:ascii="Arial" w:hAnsi="Arial" w:cs="Arial"/>
                <w:sz w:val="20"/>
                <w:szCs w:val="20"/>
              </w:rPr>
            </w:pPr>
            <w:r w:rsidRPr="00750285">
              <w:rPr>
                <w:rFonts w:ascii="Arial" w:hAnsi="Arial" w:cs="Arial"/>
                <w:sz w:val="20"/>
                <w:szCs w:val="20"/>
              </w:rPr>
              <w:t>9.53%</w:t>
            </w:r>
          </w:p>
        </w:tc>
        <w:tc>
          <w:tcPr>
            <w:tcW w:w="1088" w:type="dxa"/>
          </w:tcPr>
          <w:p w14:paraId="11E41AF4" w14:textId="36987111" w:rsidR="002B0923" w:rsidRPr="00750285" w:rsidRDefault="002B0923" w:rsidP="00A3485A">
            <w:pPr>
              <w:rPr>
                <w:rFonts w:ascii="Arial" w:hAnsi="Arial" w:cs="Arial"/>
                <w:sz w:val="20"/>
                <w:szCs w:val="20"/>
              </w:rPr>
            </w:pPr>
            <w:r w:rsidRPr="00750285">
              <w:rPr>
                <w:rFonts w:ascii="Arial" w:hAnsi="Arial" w:cs="Arial"/>
                <w:sz w:val="20"/>
                <w:szCs w:val="20"/>
              </w:rPr>
              <w:t>28.26%</w:t>
            </w:r>
          </w:p>
        </w:tc>
        <w:tc>
          <w:tcPr>
            <w:tcW w:w="990" w:type="dxa"/>
          </w:tcPr>
          <w:p w14:paraId="76EAC985" w14:textId="4B4A34C1" w:rsidR="002B0923" w:rsidRPr="00750285" w:rsidRDefault="002B0923" w:rsidP="006F5956">
            <w:pPr>
              <w:keepNext/>
              <w:rPr>
                <w:rFonts w:ascii="Arial" w:hAnsi="Arial" w:cs="Arial"/>
                <w:sz w:val="20"/>
                <w:szCs w:val="20"/>
              </w:rPr>
            </w:pPr>
            <w:r w:rsidRPr="00750285">
              <w:rPr>
                <w:rFonts w:ascii="Arial" w:hAnsi="Arial" w:cs="Arial"/>
                <w:sz w:val="20"/>
                <w:szCs w:val="20"/>
              </w:rPr>
              <w:t>22.79%</w:t>
            </w:r>
          </w:p>
        </w:tc>
      </w:tr>
    </w:tbl>
    <w:p w14:paraId="328B441C" w14:textId="211AFE5B" w:rsidR="006F5956" w:rsidRPr="00113E09" w:rsidRDefault="006F5956">
      <w:pPr>
        <w:pStyle w:val="Caption"/>
        <w:rPr>
          <w:color w:val="auto"/>
        </w:rPr>
      </w:pPr>
      <w:bookmarkStart w:id="122" w:name="_Toc17269002"/>
      <w:bookmarkStart w:id="123" w:name="_Toc16156409"/>
      <w:bookmarkStart w:id="124" w:name="_Toc16162944"/>
      <w:r w:rsidRPr="00113E09">
        <w:rPr>
          <w:color w:val="auto"/>
        </w:rPr>
        <w:t xml:space="preserve">Table IX.A.36. </w:t>
      </w:r>
      <w:r w:rsidR="00767843" w:rsidRPr="00113E09">
        <w:rPr>
          <w:color w:val="auto"/>
        </w:rPr>
        <w:fldChar w:fldCharType="begin"/>
      </w:r>
      <w:r w:rsidR="00767843" w:rsidRPr="00113E09">
        <w:rPr>
          <w:color w:val="auto"/>
        </w:rPr>
        <w:instrText xml:space="preserve"> SEQ Table_IX.A.36. \* ARABIC </w:instrText>
      </w:r>
      <w:r w:rsidR="00767843" w:rsidRPr="00113E09">
        <w:rPr>
          <w:color w:val="auto"/>
        </w:rPr>
        <w:fldChar w:fldCharType="separate"/>
      </w:r>
      <w:r w:rsidR="00767843">
        <w:rPr>
          <w:noProof/>
          <w:color w:val="auto"/>
        </w:rPr>
        <w:t>12</w:t>
      </w:r>
      <w:r w:rsidR="00767843" w:rsidRPr="00113E09">
        <w:rPr>
          <w:noProof/>
          <w:color w:val="auto"/>
        </w:rPr>
        <w:fldChar w:fldCharType="end"/>
      </w:r>
      <w:r w:rsidRPr="00113E09">
        <w:rPr>
          <w:color w:val="auto"/>
        </w:rPr>
        <w:t xml:space="preserve"> 2026 On-Road Mobile Inventory Compared to Total 2026 Emissions Inventory</w:t>
      </w:r>
      <w:bookmarkEnd w:id="122"/>
    </w:p>
    <w:bookmarkEnd w:id="123"/>
    <w:bookmarkEnd w:id="124"/>
    <w:p w14:paraId="2C7E3AA9" w14:textId="73AC68F5" w:rsidR="005809C4" w:rsidRDefault="005809C4" w:rsidP="006F5956">
      <w:pPr>
        <w:pStyle w:val="Caption"/>
        <w:rPr>
          <w:shd w:val="clear" w:color="auto" w:fill="FFFFFF"/>
        </w:rPr>
      </w:pPr>
    </w:p>
    <w:p w14:paraId="31E3FFAF" w14:textId="5759D647" w:rsidR="00341C0A" w:rsidRDefault="00A3485A" w:rsidP="00341C0A">
      <w:pPr>
        <w:rPr>
          <w:shd w:val="clear" w:color="auto" w:fill="FFFFFF"/>
        </w:rPr>
      </w:pPr>
      <w:r>
        <w:rPr>
          <w:shd w:val="clear" w:color="auto" w:fill="FFFFFF"/>
        </w:rPr>
        <w:t xml:space="preserve">Since the projected design values are well below the standard, and the on-road budget is a relatively small percentage of the total inventory, </w:t>
      </w:r>
      <w:r w:rsidR="00341C0A">
        <w:rPr>
          <w:shd w:val="clear" w:color="auto" w:fill="FFFFFF"/>
        </w:rPr>
        <w:t>UDAQ is confident that there will not be any on-road mobile factors that will cause or contribute to a new violation of the NAAQS.</w:t>
      </w:r>
    </w:p>
    <w:bookmarkEnd w:id="120"/>
    <w:p w14:paraId="2565905C" w14:textId="5960ED0C" w:rsidR="008544C7" w:rsidRDefault="006C465D" w:rsidP="0054777F">
      <w:pPr>
        <w:pStyle w:val="Heading4"/>
        <w:numPr>
          <w:ilvl w:val="0"/>
          <w:numId w:val="0"/>
        </w:numPr>
      </w:pPr>
      <w:r>
        <w:t xml:space="preserve"> </w:t>
      </w:r>
      <w:bookmarkStart w:id="125" w:name="_Toc17268983"/>
      <w:r w:rsidR="008544C7">
        <w:t>(ii) Trading Ratios for Transportation Conformity</w:t>
      </w:r>
      <w:bookmarkEnd w:id="125"/>
    </w:p>
    <w:p w14:paraId="2075A6DB" w14:textId="60254CFE" w:rsidR="004B2559" w:rsidRPr="00781724" w:rsidRDefault="004B2559" w:rsidP="004B2559">
      <w:r w:rsidRPr="006A2777">
        <w:t>Per section 93.124 of the conformity regulations, for transportation conformity analyses using these budgets in analysis years beyond 20</w:t>
      </w:r>
      <w:r w:rsidR="00BB661B">
        <w:t>35</w:t>
      </w:r>
      <w:r w:rsidRPr="006A2777">
        <w:t>, a trading mechanism is established to allow future increases in on-road direct PM</w:t>
      </w:r>
      <w:r w:rsidRPr="006A2777">
        <w:rPr>
          <w:vertAlign w:val="subscript"/>
        </w:rPr>
        <w:t>2.5</w:t>
      </w:r>
      <w:r w:rsidRPr="006A2777">
        <w:t xml:space="preserve"> emissions to be offset by future decreases in plan precursor emissions from on-road mobile sources at appropriate ratios established by the air quality model.  Future increases in on-road direct PM</w:t>
      </w:r>
      <w:r w:rsidRPr="006A2777">
        <w:rPr>
          <w:vertAlign w:val="subscript"/>
        </w:rPr>
        <w:t>2.5</w:t>
      </w:r>
      <w:r w:rsidRPr="006A2777">
        <w:t xml:space="preserve"> emissions may be offset with future decreases in </w:t>
      </w:r>
      <w:r>
        <w:t>NO</w:t>
      </w:r>
      <w:r w:rsidRPr="006172DC">
        <w:rPr>
          <w:vertAlign w:val="subscript"/>
        </w:rPr>
        <w:t>x</w:t>
      </w:r>
      <w:r w:rsidRPr="006A2777">
        <w:t xml:space="preserve"> emissions from on-road mobile sources at a </w:t>
      </w:r>
      <w:r>
        <w:t>NO</w:t>
      </w:r>
      <w:r w:rsidRPr="006172DC">
        <w:rPr>
          <w:vertAlign w:val="subscript"/>
        </w:rPr>
        <w:t>x</w:t>
      </w:r>
      <w:r w:rsidRPr="006A2777">
        <w:t xml:space="preserve"> to PM</w:t>
      </w:r>
      <w:r w:rsidRPr="006A2777">
        <w:rPr>
          <w:vertAlign w:val="subscript"/>
        </w:rPr>
        <w:t xml:space="preserve">2.5 </w:t>
      </w:r>
      <w:r w:rsidRPr="006A2777">
        <w:t xml:space="preserve">ratio </w:t>
      </w:r>
      <w:r w:rsidRPr="00113E09">
        <w:t>of</w:t>
      </w:r>
      <w:r w:rsidRPr="00113E09">
        <w:rPr>
          <w:b/>
        </w:rPr>
        <w:t xml:space="preserve"> </w:t>
      </w:r>
      <w:r w:rsidR="00C27656" w:rsidRPr="00113E09">
        <w:t xml:space="preserve">6.3 </w:t>
      </w:r>
      <w:r w:rsidRPr="00113E09">
        <w:t>to 1 and/or future decreases in VOC emissions from on-road mobile sources at a VOC to PM</w:t>
      </w:r>
      <w:r w:rsidRPr="00113E09">
        <w:rPr>
          <w:vertAlign w:val="subscript"/>
        </w:rPr>
        <w:t>2.5</w:t>
      </w:r>
      <w:r w:rsidRPr="00113E09">
        <w:t xml:space="preserve"> ratio of </w:t>
      </w:r>
      <w:r w:rsidR="00C27656" w:rsidRPr="00113E09">
        <w:t>20.9</w:t>
      </w:r>
      <w:r w:rsidRPr="00113E09">
        <w:t xml:space="preserve"> to 1. </w:t>
      </w:r>
      <w:r w:rsidRPr="006A2777">
        <w:t>This trading mechanism will only be used if needed for conformity analyses for years after 20</w:t>
      </w:r>
      <w:r w:rsidR="000120DB">
        <w:t>35</w:t>
      </w:r>
      <w:r w:rsidRPr="006A2777">
        <w:t xml:space="preserve">. To ensure that the trading mechanism does not impact the ability to meet the </w:t>
      </w:r>
      <w:r>
        <w:t>NO</w:t>
      </w:r>
      <w:r w:rsidRPr="006172DC">
        <w:rPr>
          <w:vertAlign w:val="subscript"/>
        </w:rPr>
        <w:t>x</w:t>
      </w:r>
      <w:r w:rsidRPr="006A2777">
        <w:t xml:space="preserve"> or VOC budgets, the </w:t>
      </w:r>
      <w:r>
        <w:t>NO</w:t>
      </w:r>
      <w:r w:rsidRPr="006172DC">
        <w:rPr>
          <w:vertAlign w:val="subscript"/>
        </w:rPr>
        <w:t>x</w:t>
      </w:r>
      <w:r w:rsidRPr="006A2777">
        <w:t xml:space="preserve"> emission reductions available to supplement the direct PM</w:t>
      </w:r>
      <w:r w:rsidRPr="006A2777">
        <w:rPr>
          <w:vertAlign w:val="subscript"/>
        </w:rPr>
        <w:t xml:space="preserve">2.5 </w:t>
      </w:r>
      <w:r w:rsidRPr="006A2777">
        <w:t>budget shall only be those remaining after the 20</w:t>
      </w:r>
      <w:r w:rsidR="00BB661B">
        <w:t>35</w:t>
      </w:r>
      <w:r w:rsidRPr="006A2777">
        <w:t xml:space="preserve"> </w:t>
      </w:r>
      <w:r>
        <w:t>NO</w:t>
      </w:r>
      <w:r w:rsidRPr="006172DC">
        <w:rPr>
          <w:vertAlign w:val="subscript"/>
        </w:rPr>
        <w:t>x</w:t>
      </w:r>
      <w:r w:rsidRPr="006A2777">
        <w:t xml:space="preserve"> budget has been met, and the VOC emissions reductions available to supplement the direct PM</w:t>
      </w:r>
      <w:r w:rsidRPr="006A2777">
        <w:rPr>
          <w:vertAlign w:val="subscript"/>
        </w:rPr>
        <w:t>2.5</w:t>
      </w:r>
      <w:r w:rsidRPr="006A2777">
        <w:t xml:space="preserve"> budget shall only be those remaining after the 20</w:t>
      </w:r>
      <w:r w:rsidR="00B615DD">
        <w:t>35</w:t>
      </w:r>
      <w:r w:rsidRPr="006A2777">
        <w:t xml:space="preserve"> VOC budget has been met.  Clear documentation of the calculations used in the trading should be included in the conformity analysis.</w:t>
      </w:r>
      <w:r>
        <w:t xml:space="preserve"> </w:t>
      </w:r>
      <w:r w:rsidR="005809C4" w:rsidRPr="005809C4">
        <w:t>The assumptions used to create the trading ratios can be found in the TSD</w:t>
      </w:r>
      <w:r w:rsidRPr="00781724">
        <w:t>.</w:t>
      </w:r>
    </w:p>
    <w:p w14:paraId="2188D6A1" w14:textId="60ACD52E" w:rsidR="004C1422" w:rsidRDefault="004C1422" w:rsidP="002447A1">
      <w:pPr>
        <w:pStyle w:val="Heading2"/>
      </w:pPr>
      <w:bookmarkStart w:id="126" w:name="_Toc17268984"/>
      <w:r w:rsidRPr="00C82B28">
        <w:t>(</w:t>
      </w:r>
      <w:r w:rsidR="00A95A1F">
        <w:t>5</w:t>
      </w:r>
      <w:r w:rsidRPr="00C82B28">
        <w:t>) Nonattainment Requirements Applicable Pending Plan Approval</w:t>
      </w:r>
      <w:bookmarkEnd w:id="126"/>
      <w:r w:rsidRPr="00C82B28">
        <w:t xml:space="preserve"> </w:t>
      </w:r>
    </w:p>
    <w:p w14:paraId="199E9018" w14:textId="77777777" w:rsidR="00881F26" w:rsidRPr="00226889" w:rsidRDefault="00881F26" w:rsidP="00881F26">
      <w:r w:rsidRPr="00881F26">
        <w:t xml:space="preserve">CAA 175A(c) - </w:t>
      </w:r>
      <w:r w:rsidRPr="00881F26">
        <w:rPr>
          <w:i/>
          <w:iCs/>
        </w:rPr>
        <w:t>Until such plan revision is approved and an area is redesignated as attainment, the requirements of CAA Part D, Plan Requirements for Nonattainment Areas, sh</w:t>
      </w:r>
      <w:r w:rsidR="00D67E13">
        <w:rPr>
          <w:i/>
          <w:iCs/>
        </w:rPr>
        <w:t>all remain in force and effect.</w:t>
      </w:r>
      <w:r w:rsidR="00D67E13">
        <w:rPr>
          <w:iCs/>
        </w:rPr>
        <w:t xml:space="preserve"> </w:t>
      </w:r>
      <w:r w:rsidRPr="00226889">
        <w:t>The Act requires the continued implementation of the nonattainment area control strategy unless such measures are shown to be unnecessary for maintenance or are replaced with measures that achieve equivalent reductions. Utah will continue to implement the emissions limitations and measures f</w:t>
      </w:r>
      <w:r w:rsidR="007235C8">
        <w:t xml:space="preserve">rom both </w:t>
      </w:r>
      <w:r w:rsidR="0050714E" w:rsidRPr="00B8614D">
        <w:t>PM</w:t>
      </w:r>
      <w:r w:rsidR="0050714E">
        <w:rPr>
          <w:vertAlign w:val="subscript"/>
        </w:rPr>
        <w:t>2.5</w:t>
      </w:r>
      <w:r w:rsidRPr="00226889">
        <w:t xml:space="preserve"> SIP</w:t>
      </w:r>
      <w:r w:rsidR="007235C8">
        <w:t>s</w:t>
      </w:r>
      <w:r w:rsidR="00226889">
        <w:t>.</w:t>
      </w:r>
    </w:p>
    <w:p w14:paraId="730AA5A2" w14:textId="6D82E61B" w:rsidR="004C1422" w:rsidRDefault="00A95A1F" w:rsidP="002447A1">
      <w:pPr>
        <w:pStyle w:val="Heading2"/>
      </w:pPr>
      <w:bookmarkStart w:id="127" w:name="_Toc17268985"/>
      <w:r>
        <w:t>(6</w:t>
      </w:r>
      <w:r w:rsidR="004C1422" w:rsidRPr="00C82B28">
        <w:t>) Revise in Eight Years</w:t>
      </w:r>
      <w:bookmarkEnd w:id="127"/>
      <w:r w:rsidR="004C1422" w:rsidRPr="00C82B28">
        <w:t xml:space="preserve"> </w:t>
      </w:r>
    </w:p>
    <w:p w14:paraId="7A812B8A" w14:textId="48A166BB" w:rsidR="000E3392" w:rsidRPr="000E3392" w:rsidRDefault="000E3392" w:rsidP="00226889">
      <w:r w:rsidRPr="000E3392">
        <w:t xml:space="preserve">CAA 175A(b) - Eight years after redesignation, the State must submit an additional plan revision which shows maintenance of the applicable NAAQS for an additional 10 years. Utah commits to submit a revised maintenance plan eight years after EPA takes final action redesignating the </w:t>
      </w:r>
      <w:r w:rsidR="00867645" w:rsidRPr="00113E09">
        <w:t>Salt Lake City</w:t>
      </w:r>
      <w:r w:rsidRPr="00113E09">
        <w:t xml:space="preserve"> </w:t>
      </w:r>
      <w:r w:rsidRPr="000E3392">
        <w:t>area to attainment, as required by the Act.</w:t>
      </w:r>
    </w:p>
    <w:p w14:paraId="4870385B" w14:textId="5A0B1BD0" w:rsidR="004C1422" w:rsidRDefault="00A95A1F" w:rsidP="002447A1">
      <w:pPr>
        <w:pStyle w:val="Heading2"/>
      </w:pPr>
      <w:bookmarkStart w:id="128" w:name="_Toc17268986"/>
      <w:r>
        <w:t>(7</w:t>
      </w:r>
      <w:r w:rsidR="004C1422" w:rsidRPr="00C82B28">
        <w:t xml:space="preserve">) Verification of Continued Maintenance </w:t>
      </w:r>
      <w:r w:rsidR="009C7FD2">
        <w:t>and Monitoring</w:t>
      </w:r>
      <w:bookmarkEnd w:id="128"/>
    </w:p>
    <w:p w14:paraId="142ED234" w14:textId="671305C8" w:rsidR="009C7FD2" w:rsidRDefault="009C7FD2" w:rsidP="00226889">
      <w:r>
        <w:t xml:space="preserve">Implicit in the requirements outlined above is the need for the State to determine whether the area is in fact maintaining the standard it has achieved. There are two complementary ways to measure this: 1) by monitoring the ambient air for </w:t>
      </w:r>
      <w:r w:rsidR="0050714E" w:rsidRPr="00B8614D">
        <w:t>PM</w:t>
      </w:r>
      <w:r w:rsidR="0050714E">
        <w:rPr>
          <w:vertAlign w:val="subscript"/>
        </w:rPr>
        <w:t>2.5</w:t>
      </w:r>
      <w:r w:rsidR="0067319C">
        <w:t>;</w:t>
      </w:r>
      <w:r>
        <w:t xml:space="preserve"> and 2) by inventorying emissions of </w:t>
      </w:r>
      <w:r w:rsidR="0050714E" w:rsidRPr="00B8614D">
        <w:t>PM</w:t>
      </w:r>
      <w:r w:rsidR="0050714E">
        <w:rPr>
          <w:vertAlign w:val="subscript"/>
        </w:rPr>
        <w:t>2.5</w:t>
      </w:r>
      <w:r>
        <w:t xml:space="preserve"> and its precursors from various sources. </w:t>
      </w:r>
    </w:p>
    <w:p w14:paraId="6342D1E1" w14:textId="77777777" w:rsidR="009C7FD2" w:rsidRDefault="009C7FD2" w:rsidP="00226889">
      <w:r>
        <w:lastRenderedPageBreak/>
        <w:t xml:space="preserve">The State will continue to maintain an ambient monitoring network for </w:t>
      </w:r>
      <w:r w:rsidR="0050714E" w:rsidRPr="00B8614D">
        <w:t>PM</w:t>
      </w:r>
      <w:r w:rsidR="0050714E">
        <w:rPr>
          <w:vertAlign w:val="subscript"/>
        </w:rPr>
        <w:t>2.5</w:t>
      </w:r>
      <w:r>
        <w:t xml:space="preserve"> in accordance with 40 CFR Part 58 and the Utah SIP. The State anticipates that the EPA will continue to review the ambient monitoring network for </w:t>
      </w:r>
      <w:r w:rsidR="0050714E" w:rsidRPr="00B8614D">
        <w:t>PM</w:t>
      </w:r>
      <w:r w:rsidR="0050714E">
        <w:rPr>
          <w:vertAlign w:val="subscript"/>
        </w:rPr>
        <w:t>2.5</w:t>
      </w:r>
      <w:r>
        <w:t xml:space="preserve"> each year, and any necessary modifications to the network will be implemented. </w:t>
      </w:r>
    </w:p>
    <w:p w14:paraId="157A9F66" w14:textId="0D7097A6" w:rsidR="009C7FD2" w:rsidRDefault="009C7FD2" w:rsidP="00226889">
      <w:pPr>
        <w:rPr>
          <w:color w:val="FF0000"/>
        </w:rPr>
      </w:pPr>
      <w:r>
        <w:t>Additionally, the State will track and document measured mobile source parameters (e.g., vehicle miles traveled, congestion, fleet mix, etc.) and new and modified stationary source permits. If these and the resulting emissions change significantly over time, the State will perform appropriate studies to determine: 1) whether additional and/or re-sited monitors are necessary</w:t>
      </w:r>
      <w:r w:rsidR="0067319C">
        <w:t>;</w:t>
      </w:r>
      <w:r>
        <w:t xml:space="preserve"> and 2) whether mobile and stationary source emission projections are on target</w:t>
      </w:r>
      <w:r w:rsidRPr="00E44806">
        <w:t xml:space="preserve">. The State will also continue to collect actual emissions inventory data from </w:t>
      </w:r>
      <w:r w:rsidR="00D03A8F" w:rsidRPr="00E44806">
        <w:t>sources at thresholds defined in R307-150.</w:t>
      </w:r>
    </w:p>
    <w:p w14:paraId="1C41CCCC" w14:textId="16AE00FD" w:rsidR="004C1422" w:rsidRDefault="00A95A1F" w:rsidP="002447A1">
      <w:pPr>
        <w:pStyle w:val="Heading2"/>
      </w:pPr>
      <w:bookmarkStart w:id="129" w:name="_Toc17268987"/>
      <w:r>
        <w:t>(8</w:t>
      </w:r>
      <w:r w:rsidR="004C1422" w:rsidRPr="00C82B28">
        <w:t xml:space="preserve">) Contingency </w:t>
      </w:r>
      <w:r w:rsidR="009C7FD2">
        <w:t>Plan</w:t>
      </w:r>
      <w:bookmarkEnd w:id="129"/>
    </w:p>
    <w:p w14:paraId="235A5F31" w14:textId="77777777" w:rsidR="001D0144" w:rsidRPr="00113E09" w:rsidRDefault="00F77A05" w:rsidP="001D0144">
      <w:pPr>
        <w:rPr>
          <w:i/>
        </w:rPr>
      </w:pPr>
      <w:r w:rsidRPr="001D0144">
        <w:rPr>
          <w:i/>
        </w:rPr>
        <w:t>CAA 175A(d) - Each maintenance plan shall contain contingency measures to assure that the State will promptly correct any violation of the standard which occurs after the redesignation of the area to attainment</w:t>
      </w:r>
      <w:r w:rsidR="008155B0" w:rsidRPr="001D0144">
        <w:rPr>
          <w:i/>
        </w:rPr>
        <w:t xml:space="preserve">. </w:t>
      </w:r>
      <w:r w:rsidR="001D0144" w:rsidRPr="001D0144">
        <w:rPr>
          <w:i/>
        </w:rPr>
        <w:t xml:space="preserve">Such provisions shall include a requirement that the State will implement all control measures which were contained in the SIP </w:t>
      </w:r>
      <w:r w:rsidR="001D0144" w:rsidRPr="00113E09">
        <w:rPr>
          <w:i/>
        </w:rPr>
        <w:t>prior to redesignation.</w:t>
      </w:r>
    </w:p>
    <w:p w14:paraId="5D028D4D" w14:textId="6BEA9192" w:rsidR="008155B0" w:rsidRPr="00113E09" w:rsidRDefault="00487F68" w:rsidP="008155B0">
      <w:r w:rsidRPr="00113E09">
        <w:t>U</w:t>
      </w:r>
      <w:r w:rsidR="00E64F01" w:rsidRPr="00113E09">
        <w:t xml:space="preserve">pon redesignation, </w:t>
      </w:r>
      <w:r w:rsidR="00560B27" w:rsidRPr="00113E09">
        <w:t>t</w:t>
      </w:r>
      <w:r w:rsidR="00F77A05" w:rsidRPr="00113E09">
        <w:t xml:space="preserve">his contingency plan for </w:t>
      </w:r>
      <w:r w:rsidR="00432E6F" w:rsidRPr="00113E09">
        <w:t xml:space="preserve">the </w:t>
      </w:r>
      <w:r w:rsidR="00510738" w:rsidRPr="00113E09">
        <w:t>SLC NAA</w:t>
      </w:r>
      <w:r w:rsidR="00F77A05" w:rsidRPr="00113E09">
        <w:t xml:space="preserve"> supersedes Subsection IX.A.</w:t>
      </w:r>
      <w:r w:rsidR="00510738" w:rsidRPr="00113E09">
        <w:t>31</w:t>
      </w:r>
      <w:r w:rsidR="00F77A05" w:rsidRPr="00113E09">
        <w:t>.9, Contingency Measures</w:t>
      </w:r>
      <w:r w:rsidR="00C4060B" w:rsidRPr="00113E09">
        <w:t xml:space="preserve">, which is part of the </w:t>
      </w:r>
      <w:r w:rsidR="00542D13" w:rsidRPr="00113E09">
        <w:t>s</w:t>
      </w:r>
      <w:r w:rsidR="00510738" w:rsidRPr="00113E09">
        <w:t>erious SLC</w:t>
      </w:r>
      <w:r w:rsidR="00F77A05" w:rsidRPr="00113E09">
        <w:t xml:space="preserve"> NAA PM</w:t>
      </w:r>
      <w:r w:rsidR="00F77A05" w:rsidRPr="00113E09">
        <w:rPr>
          <w:vertAlign w:val="subscript"/>
        </w:rPr>
        <w:t>2.5</w:t>
      </w:r>
      <w:r w:rsidR="00F77A05" w:rsidRPr="00113E09">
        <w:t xml:space="preserve"> </w:t>
      </w:r>
      <w:r w:rsidR="00C4060B" w:rsidRPr="00113E09">
        <w:t xml:space="preserve">attainment </w:t>
      </w:r>
      <w:r w:rsidR="008155B0" w:rsidRPr="00113E09">
        <w:t xml:space="preserve">SIP. </w:t>
      </w:r>
    </w:p>
    <w:p w14:paraId="45F3AD25" w14:textId="66631A39" w:rsidR="00F77A05" w:rsidRDefault="00F77A05" w:rsidP="00226889">
      <w:r w:rsidRPr="00A9298E">
        <w:t>The contingency plan must also ensure that the contingency measures are adopted expeditiously once triggered. The primary elements of the contingency plan are: 1) the list of potential contingency measures</w:t>
      </w:r>
      <w:r w:rsidR="0067319C">
        <w:t>;</w:t>
      </w:r>
      <w:r w:rsidRPr="00A9298E">
        <w:t xml:space="preserve"> 2) the tracking and triggering mechanisms to determine when contingency measures are needed</w:t>
      </w:r>
      <w:r w:rsidR="0067319C">
        <w:t>;</w:t>
      </w:r>
      <w:r w:rsidRPr="00A9298E">
        <w:t xml:space="preserve"> and 3) a description of the process for recommending and implementing the contingency measures. </w:t>
      </w:r>
    </w:p>
    <w:p w14:paraId="30464D0B" w14:textId="12D95BE2" w:rsidR="003A6E06" w:rsidRDefault="003A6E06" w:rsidP="00EA7AC1">
      <w:pPr>
        <w:pStyle w:val="Heading3"/>
        <w:numPr>
          <w:ilvl w:val="0"/>
          <w:numId w:val="41"/>
        </w:numPr>
      </w:pPr>
      <w:bookmarkStart w:id="130" w:name="_Toc17268988"/>
      <w:r>
        <w:t>List of Potential Contingency Measures</w:t>
      </w:r>
      <w:bookmarkEnd w:id="130"/>
    </w:p>
    <w:p w14:paraId="1406685B" w14:textId="794CAAF0" w:rsidR="003A6E06" w:rsidRPr="00113E09" w:rsidRDefault="003A6E06" w:rsidP="00226889">
      <w:r>
        <w:t xml:space="preserve">Section 175(d) of the CAA requires the maintenance plan to include as potential contingency measures all of the </w:t>
      </w:r>
      <w:r w:rsidR="005A495F">
        <w:t>PM</w:t>
      </w:r>
      <w:r w:rsidR="005A495F">
        <w:rPr>
          <w:sz w:val="14"/>
          <w:szCs w:val="14"/>
        </w:rPr>
        <w:t xml:space="preserve">2.5 </w:t>
      </w:r>
      <w:r>
        <w:t>control measures contained in the attainment SIP that were relaxed or modified prior</w:t>
      </w:r>
      <w:r w:rsidR="00F1700C">
        <w:t xml:space="preserve"> to redesignation. </w:t>
      </w:r>
      <w:r w:rsidR="004B453A">
        <w:t>There were no control measures relaxed in</w:t>
      </w:r>
      <w:r w:rsidR="004B453A" w:rsidRPr="00113E09">
        <w:t xml:space="preserve"> the SLC NAA</w:t>
      </w:r>
      <w:r w:rsidR="00D52DD0" w:rsidRPr="00113E09">
        <w:t>; however</w:t>
      </w:r>
      <w:r w:rsidR="00D52DD0" w:rsidRPr="00D52DD0">
        <w:t>, below are potential contingency measure that will be evaluated</w:t>
      </w:r>
      <w:r w:rsidR="004B453A" w:rsidRPr="00D52DD0">
        <w:t xml:space="preserve">. </w:t>
      </w:r>
      <w:r w:rsidR="009E6D17">
        <w:t xml:space="preserve">If it is determined </w:t>
      </w:r>
      <w:r w:rsidR="009E6D17" w:rsidRPr="00113E09">
        <w:t>through the triggering mechanism that additional emissions reductions are necessary, UDAQ will adopt and implement appropriate contingency measure as expeditiously as possible.</w:t>
      </w:r>
      <w:r w:rsidR="00C35CFE" w:rsidRPr="00113E09">
        <w:t xml:space="preserve"> The following are potential contingency measures that may be considered by UDAQ:</w:t>
      </w:r>
    </w:p>
    <w:p w14:paraId="4C306C69" w14:textId="37E1FD28" w:rsidR="00AB6AE8" w:rsidRPr="00113E09" w:rsidRDefault="00AB6AE8" w:rsidP="00AB6AE8">
      <w:pPr>
        <w:pStyle w:val="ListParagraph"/>
        <w:numPr>
          <w:ilvl w:val="0"/>
          <w:numId w:val="19"/>
        </w:numPr>
      </w:pPr>
      <w:bookmarkStart w:id="131" w:name="_Hlk15291957"/>
      <w:r w:rsidRPr="00113E09">
        <w:t>Measures to address emissions from residential wood combustion (i.e. emissions from fireplaces under the existing R307-302 rule)</w:t>
      </w:r>
      <w:r w:rsidR="00C1338C" w:rsidRPr="00113E09">
        <w:t>, including re-evaluating the thresholds at which red or yellow burn days are triggered</w:t>
      </w:r>
      <w:r w:rsidRPr="00113E09">
        <w:t xml:space="preserve">. Residential wood combustion represents </w:t>
      </w:r>
      <w:r w:rsidR="002C42CD" w:rsidRPr="00113E09">
        <w:t>35.4</w:t>
      </w:r>
      <w:r w:rsidRPr="00113E09">
        <w:t>% of direct PM</w:t>
      </w:r>
      <w:r w:rsidRPr="00113E09">
        <w:rPr>
          <w:vertAlign w:val="subscript"/>
        </w:rPr>
        <w:t>2.5</w:t>
      </w:r>
      <w:r w:rsidRPr="00113E09">
        <w:t xml:space="preserve"> </w:t>
      </w:r>
      <w:r w:rsidR="00ED1CF3" w:rsidRPr="00113E09">
        <w:t>emissions</w:t>
      </w:r>
      <w:r w:rsidR="00671CC4" w:rsidRPr="00113E09">
        <w:t xml:space="preserve"> in </w:t>
      </w:r>
      <w:r w:rsidR="009C47DB" w:rsidRPr="00113E09">
        <w:t xml:space="preserve">the </w:t>
      </w:r>
      <w:r w:rsidR="00671CC4" w:rsidRPr="00113E09">
        <w:t>2017</w:t>
      </w:r>
      <w:r w:rsidR="009C47DB" w:rsidRPr="00113E09">
        <w:t xml:space="preserve"> county-wide inventory</w:t>
      </w:r>
      <w:r w:rsidR="00ED1CF3" w:rsidRPr="00113E09">
        <w:t>.</w:t>
      </w:r>
    </w:p>
    <w:p w14:paraId="146BEFE4" w14:textId="01196E07" w:rsidR="00086D35" w:rsidRPr="00113E09" w:rsidRDefault="00086D35" w:rsidP="00086D35">
      <w:pPr>
        <w:pStyle w:val="ListParagraph"/>
        <w:numPr>
          <w:ilvl w:val="0"/>
          <w:numId w:val="19"/>
        </w:numPr>
      </w:pPr>
      <w:r w:rsidRPr="00113E09">
        <w:t xml:space="preserve">Measures to address </w:t>
      </w:r>
      <w:r w:rsidR="002C42CD" w:rsidRPr="00113E09">
        <w:t>fugitive dust from area sources. Fugitive dust</w:t>
      </w:r>
      <w:r w:rsidRPr="00113E09">
        <w:t xml:space="preserve"> represents </w:t>
      </w:r>
      <w:r w:rsidR="002C42CD" w:rsidRPr="00113E09">
        <w:t>31.2</w:t>
      </w:r>
      <w:r w:rsidRPr="00113E09">
        <w:t>% of direct PM</w:t>
      </w:r>
      <w:r w:rsidRPr="00113E09">
        <w:rPr>
          <w:vertAlign w:val="subscript"/>
        </w:rPr>
        <w:t>2.5</w:t>
      </w:r>
      <w:r w:rsidRPr="00113E09">
        <w:t xml:space="preserve"> emissions in </w:t>
      </w:r>
      <w:r w:rsidR="009C47DB" w:rsidRPr="00113E09">
        <w:t xml:space="preserve">the </w:t>
      </w:r>
      <w:r w:rsidRPr="00113E09">
        <w:t>2017</w:t>
      </w:r>
      <w:r w:rsidR="009C47DB" w:rsidRPr="00113E09">
        <w:t xml:space="preserve"> county-wide inventory</w:t>
      </w:r>
      <w:r w:rsidRPr="00113E09">
        <w:t>.</w:t>
      </w:r>
    </w:p>
    <w:p w14:paraId="3EA77F4A" w14:textId="0010F3A4" w:rsidR="00C925E3" w:rsidRPr="00113E09" w:rsidRDefault="00C925E3" w:rsidP="00AB6AE8">
      <w:pPr>
        <w:pStyle w:val="ListParagraph"/>
        <w:numPr>
          <w:ilvl w:val="0"/>
          <w:numId w:val="19"/>
        </w:numPr>
      </w:pPr>
      <w:r w:rsidRPr="00113E09">
        <w:t>Additional measures to address other PM</w:t>
      </w:r>
      <w:r w:rsidRPr="00113E09">
        <w:rPr>
          <w:vertAlign w:val="subscript"/>
        </w:rPr>
        <w:t>2.5</w:t>
      </w:r>
      <w:r w:rsidRPr="00113E09">
        <w:t xml:space="preserve"> sources identified in the emissions inventory such as on-road vehicles, non-road vehicles and engines, </w:t>
      </w:r>
      <w:r w:rsidR="002C42CD" w:rsidRPr="00113E09">
        <w:t xml:space="preserve">and </w:t>
      </w:r>
      <w:r w:rsidRPr="00113E09">
        <w:t xml:space="preserve">industrial sources. These source categories </w:t>
      </w:r>
      <w:r w:rsidRPr="00113E09">
        <w:lastRenderedPageBreak/>
        <w:t xml:space="preserve">represent </w:t>
      </w:r>
      <w:r w:rsidR="002C42CD" w:rsidRPr="00113E09">
        <w:t>35.8</w:t>
      </w:r>
      <w:r w:rsidRPr="00113E09">
        <w:t xml:space="preserve">%, </w:t>
      </w:r>
      <w:r w:rsidR="0046629D" w:rsidRPr="00113E09">
        <w:t>13.0</w:t>
      </w:r>
      <w:r w:rsidRPr="00113E09">
        <w:t xml:space="preserve">%, </w:t>
      </w:r>
      <w:r w:rsidR="002C42CD" w:rsidRPr="00113E09">
        <w:t xml:space="preserve">and </w:t>
      </w:r>
      <w:r w:rsidR="0046629D" w:rsidRPr="00113E09">
        <w:t>14.5</w:t>
      </w:r>
      <w:r w:rsidRPr="00113E09">
        <w:t xml:space="preserve">%, respectively, of the </w:t>
      </w:r>
      <w:r w:rsidR="002C42CD" w:rsidRPr="00113E09">
        <w:t xml:space="preserve">overall </w:t>
      </w:r>
      <w:r w:rsidR="00671CC4" w:rsidRPr="00113E09">
        <w:t>2017 baseyear</w:t>
      </w:r>
      <w:r w:rsidRPr="00113E09">
        <w:t xml:space="preserve"> emissions inventory.</w:t>
      </w:r>
    </w:p>
    <w:p w14:paraId="4B6F2506" w14:textId="0C40FDB0" w:rsidR="00CB6C9B" w:rsidRPr="00113E09" w:rsidRDefault="00CB6C9B" w:rsidP="00316107">
      <w:pPr>
        <w:rPr>
          <w:rFonts w:cs="Times New Roman"/>
        </w:rPr>
      </w:pPr>
      <w:r w:rsidRPr="00113E09">
        <w:t>In addition, UDAQ administers incentive and grant programs that reduce emissions in Utah’s NAAs. The emissions reductions are not included in the quantitative maintenance demonstration; however, they are expected to contribute to the mitigation of PM</w:t>
      </w:r>
      <w:r w:rsidRPr="00113E09">
        <w:rPr>
          <w:vertAlign w:val="subscript"/>
        </w:rPr>
        <w:t>2.5</w:t>
      </w:r>
      <w:r w:rsidRPr="00113E09">
        <w:t xml:space="preserve"> concentrations. Generally speaking, the programs target Utah nonattainment areas. The programs include approximately $25.5 million from the Volkswagen settlement and approximately $12.7 million to replace heavy-duty diesel trucks and buses that are operating under old emissions standards. </w:t>
      </w:r>
      <w:bookmarkStart w:id="132" w:name="_Hlk24028486"/>
      <w:r w:rsidR="003209B0" w:rsidRPr="00113E09">
        <w:t>A</w:t>
      </w:r>
      <w:r w:rsidRPr="00113E09">
        <w:t xml:space="preserve">pproximately $1.3 million </w:t>
      </w:r>
      <w:r w:rsidR="003209B0" w:rsidRPr="00113E09">
        <w:t xml:space="preserve">will go towards upgrading non-road engines </w:t>
      </w:r>
      <w:r w:rsidRPr="00113E09">
        <w:t>on the Wasatch Front</w:t>
      </w:r>
      <w:bookmarkEnd w:id="132"/>
      <w:r w:rsidRPr="00113E09">
        <w:t>. Another $3.8 million of the Volkswagen funding will go towards installing electric vehicle supply equipment in Utah. UDAQ is in the process of using approximately $9.6 million in federal funding to implement wood stove changeout programs throughout the three Utah PM</w:t>
      </w:r>
      <w:r w:rsidRPr="00113E09">
        <w:rPr>
          <w:vertAlign w:val="subscript"/>
        </w:rPr>
        <w:t>2.5</w:t>
      </w:r>
      <w:r w:rsidRPr="00113E09">
        <w:t xml:space="preserve"> NAAs. </w:t>
      </w:r>
    </w:p>
    <w:p w14:paraId="54DE17DD" w14:textId="04C3F2F9" w:rsidR="004C1422" w:rsidRPr="00113E09" w:rsidRDefault="004C1422" w:rsidP="002447A1">
      <w:pPr>
        <w:pStyle w:val="Heading3"/>
      </w:pPr>
      <w:bookmarkStart w:id="133" w:name="_Toc17268989"/>
      <w:bookmarkEnd w:id="131"/>
      <w:r w:rsidRPr="00113E09">
        <w:t>Tracking</w:t>
      </w:r>
      <w:bookmarkEnd w:id="133"/>
    </w:p>
    <w:p w14:paraId="67466AF3" w14:textId="77777777" w:rsidR="00273BF1" w:rsidRPr="00113E09" w:rsidRDefault="00273BF1" w:rsidP="00226889">
      <w:r w:rsidRPr="00113E09">
        <w:t>The tracking plan for the three NAAs consists of monitoring and analyzing ambient PM</w:t>
      </w:r>
      <w:r w:rsidRPr="00113E09">
        <w:rPr>
          <w:sz w:val="14"/>
          <w:szCs w:val="14"/>
        </w:rPr>
        <w:t xml:space="preserve">2.5 </w:t>
      </w:r>
      <w:r w:rsidRPr="00113E09">
        <w:t>concentrations. In accordance with 40 CFR 58, the State will continue to operate and maintain an adequate PM</w:t>
      </w:r>
      <w:r w:rsidRPr="00113E09">
        <w:rPr>
          <w:sz w:val="14"/>
          <w:szCs w:val="14"/>
        </w:rPr>
        <w:t xml:space="preserve">2.5 </w:t>
      </w:r>
      <w:r w:rsidRPr="00113E09">
        <w:t xml:space="preserve">monitoring network in SLC, Provo, and Logan NAAs. </w:t>
      </w:r>
    </w:p>
    <w:p w14:paraId="1381DB2D" w14:textId="07C59DAF" w:rsidR="004C1422" w:rsidRPr="00113E09" w:rsidRDefault="004C1422" w:rsidP="00054DEE">
      <w:pPr>
        <w:pStyle w:val="Heading3"/>
      </w:pPr>
      <w:bookmarkStart w:id="134" w:name="_Toc17268990"/>
      <w:r w:rsidRPr="00113E09">
        <w:t>Triggering</w:t>
      </w:r>
      <w:bookmarkEnd w:id="134"/>
      <w:r w:rsidRPr="00113E09">
        <w:t xml:space="preserve"> </w:t>
      </w:r>
    </w:p>
    <w:p w14:paraId="77C1FA3A" w14:textId="77777777" w:rsidR="00273BF1" w:rsidRPr="00113E09" w:rsidRDefault="00273BF1" w:rsidP="00226889">
      <w:r w:rsidRPr="00113E09">
        <w:t xml:space="preserve">Triggering of the contingency plan does not automatically require a revision to </w:t>
      </w:r>
      <w:r w:rsidR="00E66ADD" w:rsidRPr="00113E09">
        <w:t>the SIP, nor does it</w:t>
      </w:r>
      <w:r w:rsidRPr="00113E09">
        <w:t xml:space="preserve"> mean </w:t>
      </w:r>
      <w:r w:rsidR="00E66ADD" w:rsidRPr="00113E09">
        <w:t xml:space="preserve">that </w:t>
      </w:r>
      <w:r w:rsidRPr="00113E09">
        <w:t xml:space="preserve">the area will </w:t>
      </w:r>
      <w:r w:rsidR="00E66ADD" w:rsidRPr="00113E09">
        <w:t xml:space="preserve">automatically </w:t>
      </w:r>
      <w:r w:rsidRPr="00113E09">
        <w:t xml:space="preserve">be redesignated once again to nonattainment. Instead, the State will have an appropriate timeframe to correct the potential violation with implementation of one or more adopted contingency measures. In the event that violations continue to occur, additional contingency measures will be adopted until the violations are corrected. </w:t>
      </w:r>
    </w:p>
    <w:p w14:paraId="67A97BB4" w14:textId="77777777" w:rsidR="00A95A1F" w:rsidRPr="00113E09" w:rsidRDefault="00A95A1F" w:rsidP="00226889">
      <w:r w:rsidRPr="00113E09">
        <w:t>Upon notification of a potential violation of the PM</w:t>
      </w:r>
      <w:r w:rsidRPr="00113E09">
        <w:rPr>
          <w:vertAlign w:val="subscript"/>
        </w:rPr>
        <w:t>2.5</w:t>
      </w:r>
      <w:r w:rsidRPr="00113E09">
        <w:t xml:space="preserve"> NAAQS, the State will develop appropriate contingency measures intended to prevent or correct a violation of the PM</w:t>
      </w:r>
      <w:r w:rsidRPr="00113E09">
        <w:rPr>
          <w:vertAlign w:val="subscript"/>
        </w:rPr>
        <w:t>2.5</w:t>
      </w:r>
      <w:r w:rsidRPr="00113E09">
        <w:t xml:space="preserve"> standard. Information about historical exceedances of the standard, the meteorological conditions related to the recent exceedances, and the most recent estimates of growth and emissions will be reviewed. The possibility that an exceptional event occurred will also be evaluated. </w:t>
      </w:r>
    </w:p>
    <w:p w14:paraId="6BFB9350" w14:textId="77777777" w:rsidR="00A95A1F" w:rsidRPr="00113E09" w:rsidRDefault="00A95A1F" w:rsidP="00226889">
      <w:r w:rsidRPr="00113E09">
        <w:t>Upon monitoring a potential violation of the PM</w:t>
      </w:r>
      <w:r w:rsidRPr="00113E09">
        <w:rPr>
          <w:vertAlign w:val="subscript"/>
        </w:rPr>
        <w:t>2.5</w:t>
      </w:r>
      <w:r w:rsidRPr="00113E09">
        <w:t xml:space="preserve"> NAAQS, including exceedances flagged as exceptional events but not concurred with by EPA, the State will identify a means of corrective action within six months after a potential violation. The maintenance plan contingency measures will be chosen based on a consideration of cost-effectiveness, emission reduction potential, economic and social considerations, or other factors that the State deems appropriate.</w:t>
      </w:r>
    </w:p>
    <w:p w14:paraId="2D4F459F" w14:textId="77777777" w:rsidR="004C1422" w:rsidRPr="00113E09" w:rsidRDefault="00A95A1F" w:rsidP="00193A2B">
      <w:r w:rsidRPr="00113E09">
        <w:t xml:space="preserve">The State will require implementation of such corrective action no later than one year after the violation is confirmed. Any contingency measures adopted and implemented will become part of the next revised maintenance plan submitted to the EPA for approval. </w:t>
      </w:r>
    </w:p>
    <w:sectPr w:rsidR="004C1422" w:rsidRPr="00113E09" w:rsidSect="00F939C8">
      <w:pgSz w:w="12240" w:h="15840"/>
      <w:pgMar w:top="1440" w:right="1080" w:bottom="1440" w:left="1800" w:header="720" w:footer="720" w:gutter="0"/>
      <w:lnNumType w:countBy="1"/>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0885A" w14:textId="77777777" w:rsidR="003D0BAC" w:rsidRDefault="003D0BAC" w:rsidP="00FF06BE">
      <w:pPr>
        <w:spacing w:after="0" w:line="240" w:lineRule="auto"/>
      </w:pPr>
      <w:r>
        <w:separator/>
      </w:r>
    </w:p>
  </w:endnote>
  <w:endnote w:type="continuationSeparator" w:id="0">
    <w:p w14:paraId="238A11BC" w14:textId="77777777" w:rsidR="003D0BAC" w:rsidRDefault="003D0BAC" w:rsidP="00FF06BE">
      <w:pPr>
        <w:spacing w:after="0" w:line="240" w:lineRule="auto"/>
      </w:pPr>
      <w:r>
        <w:continuationSeparator/>
      </w:r>
    </w:p>
  </w:endnote>
  <w:endnote w:type="continuationNotice" w:id="1">
    <w:p w14:paraId="128731C6" w14:textId="77777777" w:rsidR="003D0BAC" w:rsidRDefault="003D0B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BA8F2" w14:textId="77777777" w:rsidR="003D0BAC" w:rsidRPr="00907818" w:rsidRDefault="003D0BAC">
    <w:pPr>
      <w:pStyle w:val="Footer"/>
      <w:jc w:val="center"/>
      <w:rPr>
        <w:rFonts w:ascii="Arial" w:hAnsi="Arial" w:cs="Arial"/>
      </w:rPr>
    </w:pPr>
    <w:r w:rsidRPr="00907818">
      <w:rPr>
        <w:rFonts w:ascii="Arial" w:hAnsi="Arial" w:cs="Arial"/>
      </w:rPr>
      <w:t>Section IX.A.36</w:t>
    </w:r>
  </w:p>
  <w:p w14:paraId="7F8D127E" w14:textId="77777777" w:rsidR="003D0BAC" w:rsidRPr="00907818" w:rsidRDefault="003D0BAC" w:rsidP="00B610AE">
    <w:pPr>
      <w:pBdr>
        <w:top w:val="single" w:sz="4" w:space="1" w:color="auto"/>
      </w:pBdr>
      <w:tabs>
        <w:tab w:val="center" w:pos="4680"/>
        <w:tab w:val="right" w:pos="9360"/>
      </w:tabs>
      <w:spacing w:after="0" w:line="240" w:lineRule="auto"/>
      <w:jc w:val="center"/>
      <w:rPr>
        <w:rFonts w:ascii="Arial" w:hAnsi="Arial" w:cs="Arial"/>
        <w:sz w:val="20"/>
        <w:szCs w:val="24"/>
      </w:rPr>
    </w:pPr>
    <w:r w:rsidRPr="00907818">
      <w:rPr>
        <w:rFonts w:ascii="Arial" w:hAnsi="Arial" w:cs="Arial"/>
        <w:sz w:val="20"/>
        <w:szCs w:val="24"/>
      </w:rPr>
      <w:fldChar w:fldCharType="begin"/>
    </w:r>
    <w:r w:rsidRPr="00907818">
      <w:rPr>
        <w:rFonts w:ascii="Arial" w:hAnsi="Arial" w:cs="Arial"/>
        <w:sz w:val="20"/>
        <w:szCs w:val="24"/>
      </w:rPr>
      <w:instrText xml:space="preserve"> PAGE   \* MERGEFORMAT </w:instrText>
    </w:r>
    <w:r w:rsidRPr="00907818">
      <w:rPr>
        <w:rFonts w:ascii="Arial" w:hAnsi="Arial" w:cs="Arial"/>
        <w:sz w:val="20"/>
        <w:szCs w:val="24"/>
      </w:rPr>
      <w:fldChar w:fldCharType="separate"/>
    </w:r>
    <w:r>
      <w:rPr>
        <w:rFonts w:ascii="Arial" w:hAnsi="Arial" w:cs="Arial"/>
        <w:noProof/>
        <w:sz w:val="20"/>
        <w:szCs w:val="24"/>
      </w:rPr>
      <w:t>i</w:t>
    </w:r>
    <w:r w:rsidRPr="00907818">
      <w:rPr>
        <w:rFonts w:ascii="Arial" w:hAnsi="Arial" w:cs="Arial"/>
        <w:noProof/>
        <w:sz w:val="20"/>
        <w:szCs w:val="24"/>
      </w:rPr>
      <w:fldChar w:fldCharType="end"/>
    </w:r>
  </w:p>
  <w:p w14:paraId="620B7005" w14:textId="77777777" w:rsidR="003D0BAC" w:rsidRPr="00907818" w:rsidRDefault="003D0BAC" w:rsidP="00B0210D">
    <w:pP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71C20" w14:textId="77777777" w:rsidR="003D0BAC" w:rsidRDefault="003D0B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E8AC7" w14:textId="77777777" w:rsidR="003D0BAC" w:rsidRDefault="003D0BAC" w:rsidP="00FF06BE">
      <w:pPr>
        <w:spacing w:after="0" w:line="240" w:lineRule="auto"/>
      </w:pPr>
      <w:r>
        <w:separator/>
      </w:r>
    </w:p>
  </w:footnote>
  <w:footnote w:type="continuationSeparator" w:id="0">
    <w:p w14:paraId="0BCD429D" w14:textId="77777777" w:rsidR="003D0BAC" w:rsidRDefault="003D0BAC" w:rsidP="00FF06BE">
      <w:pPr>
        <w:spacing w:after="0" w:line="240" w:lineRule="auto"/>
      </w:pPr>
      <w:r>
        <w:continuationSeparator/>
      </w:r>
    </w:p>
  </w:footnote>
  <w:footnote w:type="continuationNotice" w:id="1">
    <w:p w14:paraId="64918E35" w14:textId="77777777" w:rsidR="003D0BAC" w:rsidRDefault="003D0BAC">
      <w:pPr>
        <w:spacing w:after="0" w:line="240" w:lineRule="auto"/>
      </w:pPr>
    </w:p>
  </w:footnote>
  <w:footnote w:id="2">
    <w:p w14:paraId="2F5C57A4" w14:textId="30156820" w:rsidR="003D0BAC" w:rsidRDefault="003D0BAC">
      <w:pPr>
        <w:pStyle w:val="FootnoteText"/>
      </w:pPr>
      <w:r>
        <w:rPr>
          <w:rStyle w:val="FootnoteReference"/>
        </w:rPr>
        <w:footnoteRef/>
      </w:r>
      <w:r>
        <w:t xml:space="preserve"> Concurrent with the State’s submittal of SIP Section IX.A.36 to the EPA, Governor Gary Herbert will submit a letter to EPA requesting that EPA approve the maintenance plan and redesignate the SLC NAA to attainment. </w:t>
      </w:r>
    </w:p>
  </w:footnote>
  <w:footnote w:id="3">
    <w:p w14:paraId="049AE8CD" w14:textId="72F6096D" w:rsidR="003D0BAC" w:rsidRDefault="003D0BAC">
      <w:pPr>
        <w:pStyle w:val="FootnoteText"/>
      </w:pPr>
      <w:r>
        <w:rPr>
          <w:rStyle w:val="FootnoteReference"/>
        </w:rPr>
        <w:footnoteRef/>
      </w:r>
      <w:r>
        <w:t xml:space="preserve"> UDAQ. December 3, 2014. Utah State Implementation Plan. Control Measures for Area and Point Sources, Fine Particulate Matter, PM</w:t>
      </w:r>
      <w:r>
        <w:rPr>
          <w:vertAlign w:val="subscript"/>
        </w:rPr>
        <w:t>2.5</w:t>
      </w:r>
      <w:r>
        <w:t xml:space="preserve"> SIP for the Salt Lake City, UT Nonattainment Area. Section IX. Part A.21. </w:t>
      </w:r>
      <w:r w:rsidRPr="00AE0683">
        <w:t>https://deq.utah.gov/legacy/laws-and-rules/air-quality/sip/docs/2014/12Dec/SIP%20IX.A.21_SLC_FINAL_Adopted%2012-3-14.pdf</w:t>
      </w:r>
    </w:p>
  </w:footnote>
  <w:footnote w:id="4">
    <w:p w14:paraId="45E1B91E" w14:textId="77777777" w:rsidR="003D0BAC" w:rsidRDefault="003D0BAC">
      <w:pPr>
        <w:pStyle w:val="FootnoteText"/>
      </w:pPr>
      <w:r>
        <w:rPr>
          <w:rStyle w:val="FootnoteReference"/>
        </w:rPr>
        <w:footnoteRef/>
      </w:r>
      <w:r>
        <w:t xml:space="preserve"> John Calcagni. September 4, 1992. EPA Memorandum “Procedures for Processing Requests to Redesignate Areas to Attainment.”</w:t>
      </w:r>
    </w:p>
  </w:footnote>
  <w:footnote w:id="5">
    <w:p w14:paraId="4F0EEA4C" w14:textId="77777777" w:rsidR="003D0BAC" w:rsidRDefault="003D0BAC" w:rsidP="0094419A">
      <w:pPr>
        <w:pStyle w:val="FootnoteText"/>
      </w:pPr>
      <w:r>
        <w:rPr>
          <w:rStyle w:val="FootnoteReference"/>
        </w:rPr>
        <w:footnoteRef/>
      </w:r>
      <w:r>
        <w:t xml:space="preserve"> EPA letter to UDAQ. Ref: 8ARD-PM. Concurrence on Exceptional Event Claim for July 4, 2017 PM</w:t>
      </w:r>
      <w:r w:rsidRPr="00F32592">
        <w:rPr>
          <w:vertAlign w:val="subscript"/>
        </w:rPr>
        <w:t>2.5</w:t>
      </w:r>
      <w:r>
        <w:t xml:space="preserve"> Data</w:t>
      </w:r>
    </w:p>
  </w:footnote>
  <w:footnote w:id="6">
    <w:p w14:paraId="0A3F4226" w14:textId="77777777" w:rsidR="003D0BAC" w:rsidRDefault="003D0BAC" w:rsidP="0094419A">
      <w:pPr>
        <w:pStyle w:val="FootnoteText"/>
      </w:pPr>
      <w:r>
        <w:rPr>
          <w:rStyle w:val="FootnoteReference"/>
        </w:rPr>
        <w:footnoteRef/>
      </w:r>
      <w:r>
        <w:t xml:space="preserve"> EPA letter to UDAQ. Ref: 8ARD-PM. Concurrence on Exceptional Event Claim for September 6, 2017 PM</w:t>
      </w:r>
      <w:r w:rsidRPr="00F32592">
        <w:rPr>
          <w:vertAlign w:val="subscript"/>
        </w:rPr>
        <w:t>2.5</w:t>
      </w:r>
      <w:r>
        <w:t xml:space="preserve"> Data</w:t>
      </w:r>
    </w:p>
  </w:footnote>
  <w:footnote w:id="7">
    <w:p w14:paraId="2106357D" w14:textId="442CC3A1" w:rsidR="003D0BAC" w:rsidRDefault="003D0BAC">
      <w:pPr>
        <w:pStyle w:val="FootnoteText"/>
      </w:pPr>
      <w:r>
        <w:rPr>
          <w:rStyle w:val="FootnoteReference"/>
        </w:rPr>
        <w:footnoteRef/>
      </w:r>
      <w:r>
        <w:t xml:space="preserve"> Calcagni (n 3)</w:t>
      </w:r>
    </w:p>
  </w:footnote>
  <w:footnote w:id="8">
    <w:p w14:paraId="063EC94A" w14:textId="4A8F55BD" w:rsidR="003D0BAC" w:rsidRDefault="003D0BAC">
      <w:pPr>
        <w:pStyle w:val="FootnoteText"/>
      </w:pPr>
      <w:r>
        <w:rPr>
          <w:rStyle w:val="FootnoteReference"/>
        </w:rPr>
        <w:footnoteRef/>
      </w:r>
      <w:r>
        <w:t xml:space="preserve"> UDAQ. January 5, 2019. Utah State Implementation Plan. Control Measures for Area and Point Sources, Fine Particulate Matter, Serious Area PM</w:t>
      </w:r>
      <w:r>
        <w:rPr>
          <w:vertAlign w:val="subscript"/>
        </w:rPr>
        <w:t>2.5</w:t>
      </w:r>
      <w:r>
        <w:t xml:space="preserve"> SIP for the Salt Lake City, UT Nonattainment Area. Section IX. Part A.31. </w:t>
      </w:r>
      <w:r w:rsidRPr="00BB47FA">
        <w:t>https://documents.deq.utah.gov/air-quality/pm25-serious-sip/part-a/DAQ-2019-005386.pdf</w:t>
      </w:r>
    </w:p>
  </w:footnote>
  <w:footnote w:id="9">
    <w:p w14:paraId="6037AD2C" w14:textId="0B17A75D" w:rsidR="003D0BAC" w:rsidRDefault="003D0BAC">
      <w:pPr>
        <w:pStyle w:val="FootnoteText"/>
      </w:pPr>
      <w:r>
        <w:rPr>
          <w:rStyle w:val="FootnoteReference"/>
        </w:rPr>
        <w:footnoteRef/>
      </w:r>
      <w:r>
        <w:t xml:space="preserve"> Steve Page, Director, EPA Office of Air Quality Policy Planning and Standard. December 14, 2004. EPA Memorandum to Air Division Directors, “Clean Data Policy for the Fine Particle National Ambient Air Quality Standards.”</w:t>
      </w:r>
    </w:p>
  </w:footnote>
  <w:footnote w:id="10">
    <w:p w14:paraId="6D1E179C" w14:textId="0583CC66" w:rsidR="003D0BAC" w:rsidRDefault="003D0BAC">
      <w:pPr>
        <w:pStyle w:val="FootnoteText"/>
      </w:pPr>
      <w:r>
        <w:rPr>
          <w:rStyle w:val="FootnoteReference"/>
        </w:rPr>
        <w:footnoteRef/>
      </w:r>
      <w:r>
        <w:t xml:space="preserve"> Calcagni (n 3)</w:t>
      </w:r>
    </w:p>
  </w:footnote>
  <w:footnote w:id="11">
    <w:p w14:paraId="1BD14068" w14:textId="7FA2907F" w:rsidR="003D0BAC" w:rsidRDefault="003D0BAC">
      <w:pPr>
        <w:pStyle w:val="FootnoteText"/>
      </w:pPr>
      <w:r>
        <w:rPr>
          <w:rStyle w:val="FootnoteReference"/>
        </w:rPr>
        <w:footnoteRef/>
      </w:r>
      <w:r>
        <w:t xml:space="preserve"> Environmental Protection Agency. August 24, 2016. Fine Particulate Matter National Ambient Air Quality Standards: State Implementation Plan Requirements; Final Rule. 82 FR 58128.</w:t>
      </w:r>
    </w:p>
  </w:footnote>
  <w:footnote w:id="12">
    <w:p w14:paraId="31BCDD4C" w14:textId="481A355E" w:rsidR="003D0BAC" w:rsidRDefault="003D0BAC">
      <w:pPr>
        <w:pStyle w:val="FootnoteText"/>
      </w:pPr>
      <w:r>
        <w:rPr>
          <w:rStyle w:val="FootnoteReference"/>
        </w:rPr>
        <w:footnoteRef/>
      </w:r>
      <w:r>
        <w:t xml:space="preserve"> Calcagni (n 3)</w:t>
      </w:r>
    </w:p>
  </w:footnote>
  <w:footnote w:id="13">
    <w:p w14:paraId="3582760A" w14:textId="77777777" w:rsidR="003D0BAC" w:rsidRDefault="003D0BAC">
      <w:pPr>
        <w:pStyle w:val="FootnoteText"/>
      </w:pPr>
      <w:r>
        <w:rPr>
          <w:rStyle w:val="FootnoteReference"/>
        </w:rPr>
        <w:footnoteRef/>
      </w:r>
      <w:r>
        <w:t xml:space="preserve"> Ibid</w:t>
      </w:r>
    </w:p>
  </w:footnote>
  <w:footnote w:id="14">
    <w:p w14:paraId="10C9DA9D" w14:textId="3B5EE275" w:rsidR="003D0BAC" w:rsidRDefault="003D0BAC" w:rsidP="00384866">
      <w:pPr>
        <w:pStyle w:val="FootnoteText"/>
      </w:pPr>
      <w:r>
        <w:rPr>
          <w:rStyle w:val="FootnoteReference"/>
        </w:rPr>
        <w:footnoteRef/>
      </w:r>
      <w:r>
        <w:t xml:space="preserve"> Ibid</w:t>
      </w:r>
    </w:p>
  </w:footnote>
  <w:footnote w:id="15">
    <w:p w14:paraId="2AD4737B" w14:textId="630117BF" w:rsidR="003D0BAC" w:rsidRDefault="003D0BAC" w:rsidP="00384866">
      <w:pPr>
        <w:pStyle w:val="FootnoteText"/>
      </w:pPr>
      <w:r>
        <w:rPr>
          <w:rStyle w:val="FootnoteReference"/>
        </w:rPr>
        <w:footnoteRef/>
      </w:r>
      <w:r>
        <w:t xml:space="preserve"> Ibid</w:t>
      </w:r>
    </w:p>
  </w:footnote>
  <w:footnote w:id="16">
    <w:p w14:paraId="335F033C" w14:textId="77777777" w:rsidR="003D0BAC" w:rsidRDefault="003D0BAC" w:rsidP="00384866">
      <w:pPr>
        <w:spacing w:after="0" w:line="240" w:lineRule="auto"/>
        <w:rPr>
          <w:sz w:val="20"/>
          <w:szCs w:val="20"/>
        </w:rPr>
      </w:pPr>
      <w:r>
        <w:rPr>
          <w:vertAlign w:val="superscript"/>
        </w:rPr>
        <w:footnoteRef/>
      </w:r>
      <w:r>
        <w:rPr>
          <w:sz w:val="20"/>
          <w:szCs w:val="20"/>
        </w:rPr>
        <w:t xml:space="preserve"> </w:t>
      </w:r>
      <w:hyperlink r:id="rId1" w:history="1">
        <w:r w:rsidRPr="00F44C25">
          <w:rPr>
            <w:rStyle w:val="Hyperlink"/>
            <w:sz w:val="20"/>
            <w:szCs w:val="20"/>
          </w:rPr>
          <w:t>https://www.cmascenter.org/smoke/</w:t>
        </w:r>
      </w:hyperlink>
    </w:p>
  </w:footnote>
  <w:footnote w:id="17">
    <w:p w14:paraId="5F0BEE8F" w14:textId="77777777" w:rsidR="003D0BAC" w:rsidRDefault="003D0BAC" w:rsidP="00384866">
      <w:pPr>
        <w:spacing w:after="0" w:line="240" w:lineRule="auto"/>
        <w:rPr>
          <w:sz w:val="20"/>
          <w:szCs w:val="20"/>
        </w:rPr>
      </w:pPr>
      <w:r>
        <w:rPr>
          <w:vertAlign w:val="superscript"/>
        </w:rPr>
        <w:footnoteRef/>
      </w:r>
      <w:r>
        <w:rPr>
          <w:sz w:val="20"/>
          <w:szCs w:val="20"/>
        </w:rPr>
        <w:t xml:space="preserve"> </w:t>
      </w:r>
      <w:hyperlink r:id="rId2" w:history="1">
        <w:r w:rsidRPr="00F44C25">
          <w:rPr>
            <w:rStyle w:val="Hyperlink"/>
            <w:sz w:val="20"/>
            <w:szCs w:val="20"/>
          </w:rPr>
          <w:t>https://www.epa.gov/air-emissions-modeling/2011-version-6-air-emissions-modeling-platforms</w:t>
        </w:r>
      </w:hyperlink>
    </w:p>
  </w:footnote>
  <w:footnote w:id="18">
    <w:p w14:paraId="67CBD504" w14:textId="77777777" w:rsidR="003D0BAC" w:rsidRDefault="003D0BAC" w:rsidP="00384866">
      <w:pPr>
        <w:spacing w:after="0" w:line="240" w:lineRule="auto"/>
        <w:rPr>
          <w:sz w:val="20"/>
          <w:szCs w:val="20"/>
        </w:rPr>
      </w:pPr>
      <w:r>
        <w:rPr>
          <w:vertAlign w:val="superscript"/>
        </w:rPr>
        <w:footnoteRef/>
      </w:r>
      <w:r>
        <w:rPr>
          <w:sz w:val="20"/>
          <w:szCs w:val="20"/>
        </w:rPr>
        <w:t xml:space="preserve"> </w:t>
      </w:r>
      <w:hyperlink r:id="rId3" w:history="1">
        <w:r w:rsidRPr="00F44C25">
          <w:rPr>
            <w:rStyle w:val="Hyperlink"/>
            <w:sz w:val="20"/>
            <w:szCs w:val="20"/>
          </w:rPr>
          <w:t>https://www.epa.gov/chief</w:t>
        </w:r>
      </w:hyperlink>
    </w:p>
  </w:footnote>
  <w:footnote w:id="19">
    <w:p w14:paraId="11B7D7F7" w14:textId="77777777" w:rsidR="003D0BAC" w:rsidRDefault="003D0BAC" w:rsidP="00AC1450">
      <w:pPr>
        <w:spacing w:after="0"/>
        <w:rPr>
          <w:sz w:val="20"/>
          <w:szCs w:val="20"/>
        </w:rPr>
      </w:pPr>
      <w:r>
        <w:rPr>
          <w:vertAlign w:val="superscript"/>
        </w:rPr>
        <w:footnoteRef/>
      </w:r>
      <w:r>
        <w:rPr>
          <w:sz w:val="20"/>
          <w:szCs w:val="20"/>
        </w:rPr>
        <w:t xml:space="preserve"> </w:t>
      </w:r>
      <w:hyperlink r:id="rId4" w:history="1">
        <w:r w:rsidRPr="00F44C25">
          <w:rPr>
            <w:rStyle w:val="Hyperlink"/>
            <w:sz w:val="20"/>
            <w:szCs w:val="20"/>
          </w:rPr>
          <w:t>https://www.mmm.ucar.edu/weather-research-and-forecasting-model</w:t>
        </w:r>
      </w:hyperlink>
    </w:p>
  </w:footnote>
  <w:footnote w:id="20">
    <w:p w14:paraId="54E4EC94" w14:textId="77777777" w:rsidR="003D0BAC" w:rsidRDefault="003D0BAC" w:rsidP="00AC1450">
      <w:pPr>
        <w:pStyle w:val="FootnoteText"/>
      </w:pPr>
      <w:r>
        <w:rPr>
          <w:rStyle w:val="FootnoteReference"/>
        </w:rPr>
        <w:footnoteRef/>
      </w:r>
      <w:r>
        <w:t xml:space="preserve"> Environmental Protection Agency. </w:t>
      </w:r>
      <w:r w:rsidRPr="009C547D">
        <w:t>April 2007</w:t>
      </w:r>
      <w:r>
        <w:t xml:space="preserve">. </w:t>
      </w:r>
      <w:r w:rsidRPr="009C547D">
        <w:t>Guidance on the Use of Models and Other Analyses for Demonstrating Attainment of Air Quality Goals for Ozone, PM</w:t>
      </w:r>
      <w:r w:rsidRPr="009C547D">
        <w:rPr>
          <w:vertAlign w:val="subscript"/>
        </w:rPr>
        <w:t>2.5</w:t>
      </w:r>
      <w:r w:rsidRPr="009C547D">
        <w:t>, and Regional Haze</w:t>
      </w:r>
      <w:r>
        <w:t>.</w:t>
      </w:r>
    </w:p>
  </w:footnote>
  <w:footnote w:id="21">
    <w:p w14:paraId="6D54DF67" w14:textId="77777777" w:rsidR="003D0BAC" w:rsidRDefault="003D0BAC" w:rsidP="00384866">
      <w:pPr>
        <w:pStyle w:val="FootnoteText"/>
      </w:pPr>
      <w:r>
        <w:rPr>
          <w:rStyle w:val="FootnoteReference"/>
        </w:rPr>
        <w:footnoteRef/>
      </w:r>
      <w:r>
        <w:t xml:space="preserve"> </w:t>
      </w:r>
      <w:hyperlink r:id="rId5" w:history="1">
        <w:r w:rsidRPr="007C215D">
          <w:rPr>
            <w:rStyle w:val="Hyperlink"/>
          </w:rPr>
          <w:t>https://www.mmm.ucar.edu/weather-research-and-forecasting-model</w:t>
        </w:r>
      </w:hyperlink>
    </w:p>
  </w:footnote>
  <w:footnote w:id="22">
    <w:p w14:paraId="6C0B5300" w14:textId="77777777" w:rsidR="003D0BAC" w:rsidRPr="009C547D" w:rsidRDefault="003D0BAC" w:rsidP="00384866">
      <w:pPr>
        <w:rPr>
          <w:lang w:val="en"/>
        </w:rPr>
      </w:pPr>
      <w:r>
        <w:rPr>
          <w:rStyle w:val="FootnoteReference"/>
        </w:rPr>
        <w:footnoteRef/>
      </w:r>
      <w:r>
        <w:t xml:space="preserve"> </w:t>
      </w:r>
      <w:hyperlink r:id="rId6" w:history="1">
        <w:r w:rsidRPr="007C215D">
          <w:rPr>
            <w:rStyle w:val="Hyperlink"/>
            <w:sz w:val="20"/>
            <w:szCs w:val="20"/>
          </w:rPr>
          <w:t>https://documents.deq.utah.gov/air-quality/planning/technical-analysis/research/model-improvements/3-wintertime-episodes/DAQ-2017-014342.pdf</w:t>
        </w:r>
      </w:hyperlink>
      <w:r>
        <w:rPr>
          <w:lang w:val="en"/>
        </w:rPr>
        <w:t xml:space="preserve"> </w:t>
      </w:r>
    </w:p>
    <w:p w14:paraId="097C0616" w14:textId="77777777" w:rsidR="003D0BAC" w:rsidRDefault="003D0BAC" w:rsidP="00384866">
      <w:pPr>
        <w:pStyle w:val="FootnoteText"/>
      </w:pPr>
    </w:p>
  </w:footnote>
  <w:footnote w:id="23">
    <w:p w14:paraId="3FA99A7D" w14:textId="67CF86C5" w:rsidR="003D0BAC" w:rsidRPr="0079413C" w:rsidRDefault="003D0BAC" w:rsidP="00724F60">
      <w:pPr>
        <w:spacing w:after="0" w:line="240" w:lineRule="auto"/>
        <w:rPr>
          <w:rFonts w:asciiTheme="majorHAnsi" w:hAnsiTheme="majorHAnsi" w:cstheme="majorHAnsi"/>
          <w:sz w:val="18"/>
          <w:szCs w:val="18"/>
        </w:rPr>
      </w:pPr>
      <w:r w:rsidRPr="0079413C">
        <w:rPr>
          <w:rFonts w:asciiTheme="majorHAnsi" w:hAnsiTheme="majorHAnsi" w:cstheme="majorHAnsi"/>
          <w:sz w:val="18"/>
          <w:szCs w:val="18"/>
          <w:vertAlign w:val="superscript"/>
        </w:rPr>
        <w:footnoteRef/>
      </w:r>
      <w:hyperlink r:id="rId7" w:history="1">
        <w:r w:rsidRPr="009F6D23">
          <w:rPr>
            <w:rStyle w:val="Hyperlink"/>
            <w:rFonts w:asciiTheme="majorHAnsi" w:hAnsiTheme="majorHAnsi" w:cstheme="majorHAnsi"/>
            <w:sz w:val="18"/>
            <w:szCs w:val="18"/>
          </w:rPr>
          <w:t>https://documents.deq.utah.gov/air-quality/planning/technical-analysis/research/model-improvements/3-wintertime-episodes/DAQ-2017-014342.pdf</w:t>
        </w:r>
      </w:hyperlink>
    </w:p>
  </w:footnote>
  <w:footnote w:id="24">
    <w:p w14:paraId="689896C2" w14:textId="1901BE10" w:rsidR="003D0BAC" w:rsidRDefault="003D0BAC" w:rsidP="00724F60">
      <w:pPr>
        <w:spacing w:after="0" w:line="240" w:lineRule="auto"/>
        <w:rPr>
          <w:sz w:val="20"/>
          <w:szCs w:val="20"/>
        </w:rPr>
      </w:pPr>
      <w:r w:rsidRPr="0079413C">
        <w:rPr>
          <w:rFonts w:asciiTheme="majorHAnsi" w:hAnsiTheme="majorHAnsi" w:cstheme="majorHAnsi"/>
          <w:sz w:val="18"/>
          <w:szCs w:val="18"/>
          <w:vertAlign w:val="superscript"/>
        </w:rPr>
        <w:footnoteRef/>
      </w:r>
      <w:hyperlink r:id="rId8" w:history="1">
        <w:r w:rsidRPr="009F6D23">
          <w:rPr>
            <w:rStyle w:val="Hyperlink"/>
            <w:rFonts w:asciiTheme="majorHAnsi" w:hAnsiTheme="majorHAnsi" w:cstheme="majorHAnsi"/>
            <w:sz w:val="18"/>
            <w:szCs w:val="18"/>
          </w:rPr>
          <w:t>https://documents.deq.utah.gov/air-quality/planning/technical-analysis/research/model-improvements/3-wintertime-episodes/DAQ-2017-014342.pdf</w:t>
        </w:r>
      </w:hyperlink>
    </w:p>
  </w:footnote>
  <w:footnote w:id="25">
    <w:p w14:paraId="6CA7CCC5" w14:textId="77777777" w:rsidR="003D0BAC" w:rsidRPr="006C0212" w:rsidRDefault="003D0BAC" w:rsidP="006C4ED4">
      <w:pPr>
        <w:pStyle w:val="FootnoteText"/>
        <w:rPr>
          <w:rFonts w:asciiTheme="minorHAnsi" w:hAnsiTheme="minorHAnsi" w:cstheme="minorHAnsi"/>
        </w:rPr>
      </w:pPr>
      <w:r w:rsidRPr="006C0212">
        <w:rPr>
          <w:rStyle w:val="FootnoteReference"/>
          <w:rFonts w:asciiTheme="minorHAnsi" w:hAnsiTheme="minorHAnsi" w:cstheme="minorHAnsi"/>
        </w:rPr>
        <w:footnoteRef/>
      </w:r>
      <w:r w:rsidRPr="006C0212">
        <w:rPr>
          <w:rFonts w:asciiTheme="minorHAnsi" w:hAnsiTheme="minorHAnsi" w:cstheme="minorHAnsi"/>
        </w:rPr>
        <w:t xml:space="preserve"> </w:t>
      </w:r>
      <w:hyperlink r:id="rId9" w:history="1">
        <w:r w:rsidRPr="006C0212">
          <w:rPr>
            <w:rStyle w:val="Hyperlink"/>
            <w:rFonts w:asciiTheme="minorHAnsi" w:hAnsiTheme="minorHAnsi" w:cstheme="minorHAnsi"/>
          </w:rPr>
          <w:t>https://documents.deq.utah.gov/air-quality/planning/technical-analysis/research/model-improvements/3-wintertime-episodes/DAQ-2017-014342.pdf</w:t>
        </w:r>
      </w:hyperlink>
      <w:r w:rsidRPr="006C0212">
        <w:rPr>
          <w:rFonts w:asciiTheme="minorHAnsi" w:hAnsiTheme="minorHAnsi" w:cstheme="minorHAnsi"/>
        </w:rPr>
        <w:t>.</w:t>
      </w:r>
    </w:p>
  </w:footnote>
  <w:footnote w:id="26">
    <w:p w14:paraId="7C67872A" w14:textId="77777777" w:rsidR="003D0BAC" w:rsidRPr="00D46771" w:rsidRDefault="003D0BAC" w:rsidP="006C4ED4">
      <w:pPr>
        <w:pStyle w:val="FootnoteText"/>
        <w:rPr>
          <w:rFonts w:asciiTheme="minorHAnsi" w:hAnsiTheme="minorHAnsi" w:cstheme="minorHAnsi"/>
        </w:rPr>
      </w:pPr>
      <w:r w:rsidRPr="00D46771">
        <w:rPr>
          <w:rStyle w:val="FootnoteReference"/>
          <w:rFonts w:asciiTheme="minorHAnsi" w:hAnsiTheme="minorHAnsi" w:cstheme="minorHAnsi"/>
        </w:rPr>
        <w:footnoteRef/>
      </w:r>
      <w:r w:rsidRPr="00D46771">
        <w:rPr>
          <w:rFonts w:asciiTheme="minorHAnsi" w:hAnsiTheme="minorHAnsi" w:cstheme="minorHAnsi"/>
        </w:rPr>
        <w:t xml:space="preserve"> </w:t>
      </w:r>
      <w:hyperlink r:id="rId10" w:history="1">
        <w:r w:rsidRPr="00D46771">
          <w:rPr>
            <w:rStyle w:val="Hyperlink"/>
            <w:rFonts w:asciiTheme="minorHAnsi" w:hAnsiTheme="minorHAnsi" w:cstheme="minorHAnsi"/>
          </w:rPr>
          <w:t>https://documents.deq.utah.gov/air-quality/planning/technical-analysis/research/model-improvements/3-wintertime-episodes/DAQ-2017-014342.pdf</w:t>
        </w:r>
      </w:hyperlink>
      <w:r w:rsidRPr="00D46771">
        <w:rPr>
          <w:rFonts w:asciiTheme="minorHAnsi" w:hAnsiTheme="minorHAnsi" w:cstheme="minorHAnsi"/>
        </w:rPr>
        <w:t>.</w:t>
      </w:r>
    </w:p>
  </w:footnote>
  <w:footnote w:id="27">
    <w:p w14:paraId="1573615B" w14:textId="77777777" w:rsidR="003D0BAC" w:rsidRDefault="003D0BAC" w:rsidP="00800ECE">
      <w:pPr>
        <w:rPr>
          <w:sz w:val="20"/>
          <w:szCs w:val="20"/>
        </w:rPr>
      </w:pPr>
      <w:r>
        <w:rPr>
          <w:vertAlign w:val="superscript"/>
        </w:rPr>
        <w:footnoteRef/>
      </w:r>
      <w:r>
        <w:rPr>
          <w:sz w:val="20"/>
          <w:szCs w:val="20"/>
        </w:rPr>
        <w:t xml:space="preserve"> http://www.pcaps.utah.edu/</w:t>
      </w:r>
    </w:p>
  </w:footnote>
  <w:footnote w:id="28">
    <w:p w14:paraId="26F5BF86" w14:textId="77777777" w:rsidR="003D0BAC" w:rsidRDefault="003D0BAC" w:rsidP="00514877">
      <w:pPr>
        <w:spacing w:after="0"/>
        <w:rPr>
          <w:sz w:val="20"/>
          <w:szCs w:val="20"/>
        </w:rPr>
      </w:pPr>
      <w:r>
        <w:rPr>
          <w:vertAlign w:val="superscript"/>
        </w:rPr>
        <w:footnoteRef/>
      </w:r>
      <w:r>
        <w:rPr>
          <w:sz w:val="20"/>
          <w:szCs w:val="20"/>
        </w:rPr>
        <w:t xml:space="preserve"> </w:t>
      </w:r>
      <w:hyperlink r:id="rId11" w:history="1">
        <w:r w:rsidRPr="00514E89">
          <w:rPr>
            <w:rStyle w:val="Hyperlink"/>
            <w:sz w:val="20"/>
            <w:szCs w:val="20"/>
          </w:rPr>
          <w:t>https://www.epa.gov/scram/photochemical-modeling-tools</w:t>
        </w:r>
      </w:hyperlink>
    </w:p>
  </w:footnote>
  <w:footnote w:id="29">
    <w:p w14:paraId="68F737C5" w14:textId="7990D441" w:rsidR="003D0BAC" w:rsidRDefault="003D0BAC" w:rsidP="00724F60">
      <w:pPr>
        <w:pStyle w:val="FootnoteText"/>
      </w:pPr>
      <w:r>
        <w:rPr>
          <w:rStyle w:val="FootnoteReference"/>
        </w:rPr>
        <w:footnoteRef/>
      </w:r>
      <w:r>
        <w:t xml:space="preserve"> Calcagni (n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67F65" w14:textId="77777777" w:rsidR="003D0BAC" w:rsidRPr="00196516" w:rsidRDefault="003D0BAC" w:rsidP="00196516">
    <w:pPr>
      <w:pBdr>
        <w:bottom w:val="single" w:sz="4" w:space="1" w:color="auto"/>
      </w:pBdr>
      <w:tabs>
        <w:tab w:val="center" w:pos="4680"/>
        <w:tab w:val="right" w:pos="9360"/>
      </w:tabs>
      <w:spacing w:after="0" w:line="240" w:lineRule="auto"/>
      <w:jc w:val="right"/>
      <w:rPr>
        <w:rFonts w:ascii="Arial" w:hAnsi="Arial" w:cs="Arial"/>
        <w:sz w:val="20"/>
        <w:szCs w:val="18"/>
      </w:rPr>
    </w:pPr>
    <w:r>
      <w:rPr>
        <w:rFonts w:ascii="Arial" w:hAnsi="Arial" w:cs="Arial"/>
        <w:sz w:val="20"/>
        <w:szCs w:val="18"/>
      </w:rPr>
      <w:t>SLC,</w:t>
    </w:r>
    <w:r w:rsidRPr="00196516">
      <w:rPr>
        <w:rFonts w:ascii="Arial" w:hAnsi="Arial" w:cs="Arial"/>
        <w:sz w:val="20"/>
        <w:szCs w:val="18"/>
      </w:rPr>
      <w:t xml:space="preserve"> UT</w:t>
    </w:r>
    <w:r>
      <w:rPr>
        <w:rFonts w:ascii="Arial" w:hAnsi="Arial" w:cs="Arial"/>
        <w:sz w:val="20"/>
        <w:szCs w:val="18"/>
      </w:rPr>
      <w:t xml:space="preserve"> Maintenance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4CE3"/>
    <w:multiLevelType w:val="hybridMultilevel"/>
    <w:tmpl w:val="F08007B0"/>
    <w:lvl w:ilvl="0" w:tplc="5DD2CC72">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F834CF"/>
    <w:multiLevelType w:val="hybridMultilevel"/>
    <w:tmpl w:val="F66421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71DDC"/>
    <w:multiLevelType w:val="hybridMultilevel"/>
    <w:tmpl w:val="8A347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C7377"/>
    <w:multiLevelType w:val="hybridMultilevel"/>
    <w:tmpl w:val="FE8E46E6"/>
    <w:lvl w:ilvl="0" w:tplc="B53669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2645E"/>
    <w:multiLevelType w:val="multilevel"/>
    <w:tmpl w:val="56961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28290B"/>
    <w:multiLevelType w:val="hybridMultilevel"/>
    <w:tmpl w:val="CC42ADCA"/>
    <w:lvl w:ilvl="0" w:tplc="7DA8366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8DF5F42"/>
    <w:multiLevelType w:val="hybridMultilevel"/>
    <w:tmpl w:val="8F368C42"/>
    <w:lvl w:ilvl="0" w:tplc="223E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E704B8"/>
    <w:multiLevelType w:val="multilevel"/>
    <w:tmpl w:val="4FB68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9A16CDA"/>
    <w:multiLevelType w:val="hybridMultilevel"/>
    <w:tmpl w:val="89449D06"/>
    <w:lvl w:ilvl="0" w:tplc="AE48A262">
      <w:start w:val="1"/>
      <w:numFmt w:val="lowerLetter"/>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FF0937"/>
    <w:multiLevelType w:val="multilevel"/>
    <w:tmpl w:val="CB5E8E42"/>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0" w15:restartNumberingAfterBreak="0">
    <w:nsid w:val="1DD650FF"/>
    <w:multiLevelType w:val="hybridMultilevel"/>
    <w:tmpl w:val="29B21C56"/>
    <w:lvl w:ilvl="0" w:tplc="AD3688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287A78"/>
    <w:multiLevelType w:val="hybridMultilevel"/>
    <w:tmpl w:val="AACA7C98"/>
    <w:lvl w:ilvl="0" w:tplc="72EEA94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9FF43C0"/>
    <w:multiLevelType w:val="hybridMultilevel"/>
    <w:tmpl w:val="CF069EFC"/>
    <w:lvl w:ilvl="0" w:tplc="DD129E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7A6A57"/>
    <w:multiLevelType w:val="hybridMultilevel"/>
    <w:tmpl w:val="77DA8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A8198B"/>
    <w:multiLevelType w:val="hybridMultilevel"/>
    <w:tmpl w:val="C64C08EA"/>
    <w:lvl w:ilvl="0" w:tplc="DD129E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9000B4"/>
    <w:multiLevelType w:val="hybridMultilevel"/>
    <w:tmpl w:val="502E83F6"/>
    <w:lvl w:ilvl="0" w:tplc="12ACAF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0833006"/>
    <w:multiLevelType w:val="multilevel"/>
    <w:tmpl w:val="12C6BB5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F2101F"/>
    <w:multiLevelType w:val="hybridMultilevel"/>
    <w:tmpl w:val="65829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E71A98"/>
    <w:multiLevelType w:val="hybridMultilevel"/>
    <w:tmpl w:val="8998313E"/>
    <w:lvl w:ilvl="0" w:tplc="89C2438E">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CAC18A6"/>
    <w:multiLevelType w:val="hybridMultilevel"/>
    <w:tmpl w:val="0CAC7DB6"/>
    <w:lvl w:ilvl="0" w:tplc="0CC2C4B0">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31800D8"/>
    <w:multiLevelType w:val="hybridMultilevel"/>
    <w:tmpl w:val="3030F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916D21"/>
    <w:multiLevelType w:val="hybridMultilevel"/>
    <w:tmpl w:val="C24C669C"/>
    <w:lvl w:ilvl="0" w:tplc="7166EA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AA3605C"/>
    <w:multiLevelType w:val="hybridMultilevel"/>
    <w:tmpl w:val="E9AC1422"/>
    <w:lvl w:ilvl="0" w:tplc="C1DCA19A">
      <w:start w:val="1"/>
      <w:numFmt w:val="lowerRoman"/>
      <w:pStyle w:val="Heading4"/>
      <w:lvlText w:val="%1."/>
      <w:lvlJc w:val="righ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12DCDF86">
      <w:start w:val="1"/>
      <w:numFmt w:val="lowerLetter"/>
      <w:lvlText w:val="%2."/>
      <w:lvlJc w:val="left"/>
      <w:pPr>
        <w:ind w:left="108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D1D62A9"/>
    <w:multiLevelType w:val="hybridMultilevel"/>
    <w:tmpl w:val="A2343486"/>
    <w:lvl w:ilvl="0" w:tplc="2BEEC6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6E285F"/>
    <w:multiLevelType w:val="hybridMultilevel"/>
    <w:tmpl w:val="BF06D118"/>
    <w:lvl w:ilvl="0" w:tplc="11B6CA68">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F974B02"/>
    <w:multiLevelType w:val="hybridMultilevel"/>
    <w:tmpl w:val="A56827A0"/>
    <w:lvl w:ilvl="0" w:tplc="D8B2B4C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226619A"/>
    <w:multiLevelType w:val="hybridMultilevel"/>
    <w:tmpl w:val="5DC48780"/>
    <w:lvl w:ilvl="0" w:tplc="32D0C8B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BA57DA"/>
    <w:multiLevelType w:val="hybridMultilevel"/>
    <w:tmpl w:val="1B864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FF3EE3"/>
    <w:multiLevelType w:val="hybridMultilevel"/>
    <w:tmpl w:val="C5C22500"/>
    <w:lvl w:ilvl="0" w:tplc="E5D83632">
      <w:start w:val="1"/>
      <w:numFmt w:val="lowerLetter"/>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5"/>
  </w:num>
  <w:num w:numId="3">
    <w:abstractNumId w:val="5"/>
  </w:num>
  <w:num w:numId="4">
    <w:abstractNumId w:val="14"/>
  </w:num>
  <w:num w:numId="5">
    <w:abstractNumId w:val="12"/>
  </w:num>
  <w:num w:numId="6">
    <w:abstractNumId w:val="10"/>
  </w:num>
  <w:num w:numId="7">
    <w:abstractNumId w:val="25"/>
  </w:num>
  <w:num w:numId="8">
    <w:abstractNumId w:val="11"/>
  </w:num>
  <w:num w:numId="9">
    <w:abstractNumId w:val="20"/>
  </w:num>
  <w:num w:numId="10">
    <w:abstractNumId w:val="1"/>
  </w:num>
  <w:num w:numId="11">
    <w:abstractNumId w:val="9"/>
  </w:num>
  <w:num w:numId="12">
    <w:abstractNumId w:val="23"/>
  </w:num>
  <w:num w:numId="13">
    <w:abstractNumId w:val="3"/>
  </w:num>
  <w:num w:numId="14">
    <w:abstractNumId w:val="21"/>
  </w:num>
  <w:num w:numId="15">
    <w:abstractNumId w:val="13"/>
  </w:num>
  <w:num w:numId="16">
    <w:abstractNumId w:val="22"/>
  </w:num>
  <w:num w:numId="17">
    <w:abstractNumId w:val="22"/>
    <w:lvlOverride w:ilvl="0">
      <w:startOverride w:val="1"/>
    </w:lvlOverride>
  </w:num>
  <w:num w:numId="18">
    <w:abstractNumId w:val="22"/>
    <w:lvlOverride w:ilvl="0">
      <w:startOverride w:val="1"/>
    </w:lvlOverride>
  </w:num>
  <w:num w:numId="19">
    <w:abstractNumId w:val="27"/>
  </w:num>
  <w:num w:numId="20">
    <w:abstractNumId w:val="22"/>
  </w:num>
  <w:num w:numId="21">
    <w:abstractNumId w:val="22"/>
    <w:lvlOverride w:ilvl="0">
      <w:startOverride w:val="35"/>
    </w:lvlOverride>
  </w:num>
  <w:num w:numId="22">
    <w:abstractNumId w:val="4"/>
  </w:num>
  <w:num w:numId="23">
    <w:abstractNumId w:val="7"/>
  </w:num>
  <w:num w:numId="24">
    <w:abstractNumId w:val="17"/>
  </w:num>
  <w:num w:numId="25">
    <w:abstractNumId w:val="2"/>
  </w:num>
  <w:num w:numId="26">
    <w:abstractNumId w:val="16"/>
  </w:num>
  <w:num w:numId="27">
    <w:abstractNumId w:val="26"/>
  </w:num>
  <w:num w:numId="28">
    <w:abstractNumId w:val="19"/>
    <w:lvlOverride w:ilvl="0">
      <w:startOverride w:val="1"/>
    </w:lvlOverride>
  </w:num>
  <w:num w:numId="29">
    <w:abstractNumId w:val="24"/>
    <w:lvlOverride w:ilvl="0">
      <w:startOverride w:val="2"/>
    </w:lvlOverride>
  </w:num>
  <w:num w:numId="30">
    <w:abstractNumId w:val="18"/>
    <w:lvlOverride w:ilvl="0">
      <w:startOverride w:val="3"/>
    </w:lvlOverride>
  </w:num>
  <w:num w:numId="31">
    <w:abstractNumId w:val="0"/>
    <w:lvlOverride w:ilvl="0">
      <w:startOverride w:val="4"/>
    </w:lvlOverride>
  </w:num>
  <w:num w:numId="32">
    <w:abstractNumId w:val="0"/>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8"/>
    <w:lvlOverride w:ilvl="0">
      <w:startOverride w:val="1"/>
    </w:lvlOverride>
  </w:num>
  <w:num w:numId="36">
    <w:abstractNumId w:val="28"/>
  </w:num>
  <w:num w:numId="37">
    <w:abstractNumId w:val="28"/>
    <w:lvlOverride w:ilvl="0">
      <w:startOverride w:val="1"/>
    </w:lvlOverride>
  </w:num>
  <w:num w:numId="38">
    <w:abstractNumId w:val="28"/>
    <w:lvlOverride w:ilvl="0">
      <w:startOverride w:val="1"/>
    </w:lvlOverride>
  </w:num>
  <w:num w:numId="39">
    <w:abstractNumId w:val="28"/>
    <w:lvlOverride w:ilvl="0">
      <w:startOverride w:val="1"/>
    </w:lvlOverride>
  </w:num>
  <w:num w:numId="40">
    <w:abstractNumId w:val="22"/>
    <w:lvlOverride w:ilvl="0">
      <w:startOverride w:val="1"/>
    </w:lvlOverride>
  </w:num>
  <w:num w:numId="41">
    <w:abstractNumId w:val="28"/>
    <w:lvlOverride w:ilvl="0">
      <w:startOverride w:val="1"/>
    </w:lvlOverride>
  </w:num>
  <w:num w:numId="42">
    <w:abstractNumId w:val="28"/>
    <w:lvlOverride w:ilvl="0">
      <w:startOverride w:val="1"/>
    </w:lvlOverride>
  </w:num>
  <w:num w:numId="43">
    <w:abstractNumId w:val="28"/>
    <w:lvlOverride w:ilvl="0">
      <w:startOverride w:val="1"/>
    </w:lvlOverride>
  </w:num>
  <w:num w:numId="44">
    <w:abstractNumId w:val="22"/>
  </w:num>
  <w:num w:numId="45">
    <w:abstractNumId w:val="2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20"/>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DEE"/>
    <w:rsid w:val="0000030E"/>
    <w:rsid w:val="0000099C"/>
    <w:rsid w:val="00003FBE"/>
    <w:rsid w:val="00004ACD"/>
    <w:rsid w:val="00005159"/>
    <w:rsid w:val="000065F3"/>
    <w:rsid w:val="00010E54"/>
    <w:rsid w:val="000112B9"/>
    <w:rsid w:val="000113D8"/>
    <w:rsid w:val="00011A31"/>
    <w:rsid w:val="000120DB"/>
    <w:rsid w:val="00012509"/>
    <w:rsid w:val="00012829"/>
    <w:rsid w:val="000128DD"/>
    <w:rsid w:val="00013734"/>
    <w:rsid w:val="00013969"/>
    <w:rsid w:val="00014A30"/>
    <w:rsid w:val="00021A43"/>
    <w:rsid w:val="00021D1E"/>
    <w:rsid w:val="0002236C"/>
    <w:rsid w:val="0002236F"/>
    <w:rsid w:val="00023BF8"/>
    <w:rsid w:val="00025139"/>
    <w:rsid w:val="000259EE"/>
    <w:rsid w:val="0002609D"/>
    <w:rsid w:val="00026B41"/>
    <w:rsid w:val="00027415"/>
    <w:rsid w:val="00027673"/>
    <w:rsid w:val="0003026C"/>
    <w:rsid w:val="00031BAF"/>
    <w:rsid w:val="00033A83"/>
    <w:rsid w:val="00034E20"/>
    <w:rsid w:val="0003649E"/>
    <w:rsid w:val="0003670B"/>
    <w:rsid w:val="00042807"/>
    <w:rsid w:val="0004345A"/>
    <w:rsid w:val="0004363B"/>
    <w:rsid w:val="000443F6"/>
    <w:rsid w:val="00044BBA"/>
    <w:rsid w:val="0004720D"/>
    <w:rsid w:val="000474A0"/>
    <w:rsid w:val="00047FAE"/>
    <w:rsid w:val="00050E1C"/>
    <w:rsid w:val="00051203"/>
    <w:rsid w:val="00053372"/>
    <w:rsid w:val="00054DEE"/>
    <w:rsid w:val="00060066"/>
    <w:rsid w:val="000608AC"/>
    <w:rsid w:val="00062A00"/>
    <w:rsid w:val="000631A0"/>
    <w:rsid w:val="00063BEA"/>
    <w:rsid w:val="00064150"/>
    <w:rsid w:val="00065E4F"/>
    <w:rsid w:val="000660C3"/>
    <w:rsid w:val="00066336"/>
    <w:rsid w:val="000676E1"/>
    <w:rsid w:val="00070031"/>
    <w:rsid w:val="00070E8A"/>
    <w:rsid w:val="000720B7"/>
    <w:rsid w:val="00072507"/>
    <w:rsid w:val="000726B1"/>
    <w:rsid w:val="00074C41"/>
    <w:rsid w:val="00077584"/>
    <w:rsid w:val="000804F9"/>
    <w:rsid w:val="0008072D"/>
    <w:rsid w:val="000818A1"/>
    <w:rsid w:val="0008197F"/>
    <w:rsid w:val="0008245F"/>
    <w:rsid w:val="00082E26"/>
    <w:rsid w:val="00083215"/>
    <w:rsid w:val="00083667"/>
    <w:rsid w:val="000837DE"/>
    <w:rsid w:val="00083D6C"/>
    <w:rsid w:val="00083F27"/>
    <w:rsid w:val="00085643"/>
    <w:rsid w:val="00086D35"/>
    <w:rsid w:val="0008762B"/>
    <w:rsid w:val="000919AB"/>
    <w:rsid w:val="00093F67"/>
    <w:rsid w:val="00095A89"/>
    <w:rsid w:val="00096C88"/>
    <w:rsid w:val="000A01A6"/>
    <w:rsid w:val="000A1B8A"/>
    <w:rsid w:val="000A34B1"/>
    <w:rsid w:val="000A5925"/>
    <w:rsid w:val="000A5CB1"/>
    <w:rsid w:val="000A6CC2"/>
    <w:rsid w:val="000B082B"/>
    <w:rsid w:val="000B154A"/>
    <w:rsid w:val="000B22FA"/>
    <w:rsid w:val="000B2A3C"/>
    <w:rsid w:val="000C36E5"/>
    <w:rsid w:val="000C71B4"/>
    <w:rsid w:val="000D0CDD"/>
    <w:rsid w:val="000D1AD6"/>
    <w:rsid w:val="000D1D8B"/>
    <w:rsid w:val="000D3E63"/>
    <w:rsid w:val="000D5030"/>
    <w:rsid w:val="000E00AC"/>
    <w:rsid w:val="000E0109"/>
    <w:rsid w:val="000E021C"/>
    <w:rsid w:val="000E0BAE"/>
    <w:rsid w:val="000E3392"/>
    <w:rsid w:val="000E6363"/>
    <w:rsid w:val="000E7392"/>
    <w:rsid w:val="000E7B0C"/>
    <w:rsid w:val="000F0100"/>
    <w:rsid w:val="000F2575"/>
    <w:rsid w:val="000F27F1"/>
    <w:rsid w:val="000F2DEB"/>
    <w:rsid w:val="000F53E1"/>
    <w:rsid w:val="000F551D"/>
    <w:rsid w:val="000F6001"/>
    <w:rsid w:val="00100098"/>
    <w:rsid w:val="00100E82"/>
    <w:rsid w:val="00100FB7"/>
    <w:rsid w:val="00102894"/>
    <w:rsid w:val="0010411E"/>
    <w:rsid w:val="00104583"/>
    <w:rsid w:val="00105055"/>
    <w:rsid w:val="0010518A"/>
    <w:rsid w:val="0010586D"/>
    <w:rsid w:val="00106B8D"/>
    <w:rsid w:val="00107526"/>
    <w:rsid w:val="001104F6"/>
    <w:rsid w:val="00110C9A"/>
    <w:rsid w:val="00110FE7"/>
    <w:rsid w:val="0011163E"/>
    <w:rsid w:val="001119A1"/>
    <w:rsid w:val="00112F29"/>
    <w:rsid w:val="001131AB"/>
    <w:rsid w:val="00113E09"/>
    <w:rsid w:val="0011530F"/>
    <w:rsid w:val="00122580"/>
    <w:rsid w:val="001227C6"/>
    <w:rsid w:val="00125F8D"/>
    <w:rsid w:val="00126D8C"/>
    <w:rsid w:val="0013039D"/>
    <w:rsid w:val="00130C52"/>
    <w:rsid w:val="00132AF2"/>
    <w:rsid w:val="00132CF8"/>
    <w:rsid w:val="00134100"/>
    <w:rsid w:val="00136980"/>
    <w:rsid w:val="00137D9E"/>
    <w:rsid w:val="001405BF"/>
    <w:rsid w:val="0014204B"/>
    <w:rsid w:val="00142AD2"/>
    <w:rsid w:val="00143E1E"/>
    <w:rsid w:val="00143EF4"/>
    <w:rsid w:val="00144970"/>
    <w:rsid w:val="00146839"/>
    <w:rsid w:val="001471D3"/>
    <w:rsid w:val="001504A6"/>
    <w:rsid w:val="00150A3F"/>
    <w:rsid w:val="001512A2"/>
    <w:rsid w:val="001531DA"/>
    <w:rsid w:val="00153205"/>
    <w:rsid w:val="00153DC7"/>
    <w:rsid w:val="00154A25"/>
    <w:rsid w:val="00155A53"/>
    <w:rsid w:val="00161321"/>
    <w:rsid w:val="001622D4"/>
    <w:rsid w:val="00162346"/>
    <w:rsid w:val="001623E2"/>
    <w:rsid w:val="00163D80"/>
    <w:rsid w:val="0016479E"/>
    <w:rsid w:val="00167300"/>
    <w:rsid w:val="001703B1"/>
    <w:rsid w:val="0017126F"/>
    <w:rsid w:val="00176828"/>
    <w:rsid w:val="001778F7"/>
    <w:rsid w:val="00180C6F"/>
    <w:rsid w:val="00180FD8"/>
    <w:rsid w:val="00181A2A"/>
    <w:rsid w:val="00182835"/>
    <w:rsid w:val="00182E38"/>
    <w:rsid w:val="001843C0"/>
    <w:rsid w:val="0018478D"/>
    <w:rsid w:val="0018542F"/>
    <w:rsid w:val="00187056"/>
    <w:rsid w:val="00192624"/>
    <w:rsid w:val="001931AB"/>
    <w:rsid w:val="00193A2B"/>
    <w:rsid w:val="00194525"/>
    <w:rsid w:val="0019581F"/>
    <w:rsid w:val="00196516"/>
    <w:rsid w:val="001A0C6A"/>
    <w:rsid w:val="001A0C98"/>
    <w:rsid w:val="001A0F1A"/>
    <w:rsid w:val="001A673C"/>
    <w:rsid w:val="001A72D1"/>
    <w:rsid w:val="001A7DD4"/>
    <w:rsid w:val="001B2529"/>
    <w:rsid w:val="001B2816"/>
    <w:rsid w:val="001B2E42"/>
    <w:rsid w:val="001B4FE2"/>
    <w:rsid w:val="001B5691"/>
    <w:rsid w:val="001C0635"/>
    <w:rsid w:val="001C17DF"/>
    <w:rsid w:val="001C4A1A"/>
    <w:rsid w:val="001C55E4"/>
    <w:rsid w:val="001D0144"/>
    <w:rsid w:val="001D0E26"/>
    <w:rsid w:val="001D1BA0"/>
    <w:rsid w:val="001D1DA1"/>
    <w:rsid w:val="001D4DAD"/>
    <w:rsid w:val="001D62A6"/>
    <w:rsid w:val="001D76E1"/>
    <w:rsid w:val="001E3DD9"/>
    <w:rsid w:val="001E467E"/>
    <w:rsid w:val="001E4F7D"/>
    <w:rsid w:val="001E5DE2"/>
    <w:rsid w:val="001F20CE"/>
    <w:rsid w:val="001F38C8"/>
    <w:rsid w:val="001F3A5E"/>
    <w:rsid w:val="001F3D0B"/>
    <w:rsid w:val="001F427E"/>
    <w:rsid w:val="001F4F77"/>
    <w:rsid w:val="001F7306"/>
    <w:rsid w:val="001F78B5"/>
    <w:rsid w:val="001F7F3A"/>
    <w:rsid w:val="00201F57"/>
    <w:rsid w:val="0020253E"/>
    <w:rsid w:val="00202BF1"/>
    <w:rsid w:val="0020533A"/>
    <w:rsid w:val="002053CA"/>
    <w:rsid w:val="0020558E"/>
    <w:rsid w:val="00206D6B"/>
    <w:rsid w:val="00210646"/>
    <w:rsid w:val="00211B8C"/>
    <w:rsid w:val="00212AA0"/>
    <w:rsid w:val="00212BB9"/>
    <w:rsid w:val="00213EFD"/>
    <w:rsid w:val="00215EB0"/>
    <w:rsid w:val="00223502"/>
    <w:rsid w:val="002238DF"/>
    <w:rsid w:val="00225D77"/>
    <w:rsid w:val="00226479"/>
    <w:rsid w:val="00226572"/>
    <w:rsid w:val="00226889"/>
    <w:rsid w:val="002271E2"/>
    <w:rsid w:val="00231E01"/>
    <w:rsid w:val="00234DBE"/>
    <w:rsid w:val="00240537"/>
    <w:rsid w:val="00241B4A"/>
    <w:rsid w:val="00242D2C"/>
    <w:rsid w:val="00242E2D"/>
    <w:rsid w:val="00243378"/>
    <w:rsid w:val="00244293"/>
    <w:rsid w:val="002447A1"/>
    <w:rsid w:val="00244CA2"/>
    <w:rsid w:val="00245007"/>
    <w:rsid w:val="00245549"/>
    <w:rsid w:val="00245873"/>
    <w:rsid w:val="00246704"/>
    <w:rsid w:val="00247FC9"/>
    <w:rsid w:val="0025085A"/>
    <w:rsid w:val="0025206A"/>
    <w:rsid w:val="00252703"/>
    <w:rsid w:val="00253D14"/>
    <w:rsid w:val="00253E8F"/>
    <w:rsid w:val="002552B2"/>
    <w:rsid w:val="00257FC0"/>
    <w:rsid w:val="002614CE"/>
    <w:rsid w:val="0026249F"/>
    <w:rsid w:val="002625D7"/>
    <w:rsid w:val="002677DB"/>
    <w:rsid w:val="00267A2E"/>
    <w:rsid w:val="002701B2"/>
    <w:rsid w:val="00270847"/>
    <w:rsid w:val="00272236"/>
    <w:rsid w:val="002726B3"/>
    <w:rsid w:val="00273BF1"/>
    <w:rsid w:val="00274E63"/>
    <w:rsid w:val="0027724B"/>
    <w:rsid w:val="00277E93"/>
    <w:rsid w:val="00281385"/>
    <w:rsid w:val="00281D27"/>
    <w:rsid w:val="002839AD"/>
    <w:rsid w:val="002915EB"/>
    <w:rsid w:val="00293951"/>
    <w:rsid w:val="002966B8"/>
    <w:rsid w:val="0029785C"/>
    <w:rsid w:val="002A0912"/>
    <w:rsid w:val="002A3A57"/>
    <w:rsid w:val="002A4919"/>
    <w:rsid w:val="002A5011"/>
    <w:rsid w:val="002A5E75"/>
    <w:rsid w:val="002B06FC"/>
    <w:rsid w:val="002B0923"/>
    <w:rsid w:val="002B54C7"/>
    <w:rsid w:val="002B5798"/>
    <w:rsid w:val="002B6274"/>
    <w:rsid w:val="002B6399"/>
    <w:rsid w:val="002C069F"/>
    <w:rsid w:val="002C41DA"/>
    <w:rsid w:val="002C42CD"/>
    <w:rsid w:val="002C5B97"/>
    <w:rsid w:val="002C5DCE"/>
    <w:rsid w:val="002C61F7"/>
    <w:rsid w:val="002D1FAE"/>
    <w:rsid w:val="002D2BEE"/>
    <w:rsid w:val="002D2C73"/>
    <w:rsid w:val="002D44B4"/>
    <w:rsid w:val="002D6B47"/>
    <w:rsid w:val="002E2EB4"/>
    <w:rsid w:val="002E3034"/>
    <w:rsid w:val="002E3ACC"/>
    <w:rsid w:val="002E648D"/>
    <w:rsid w:val="002E6730"/>
    <w:rsid w:val="002E7647"/>
    <w:rsid w:val="002F39CB"/>
    <w:rsid w:val="002F4539"/>
    <w:rsid w:val="002F4DD6"/>
    <w:rsid w:val="002F528E"/>
    <w:rsid w:val="002F580B"/>
    <w:rsid w:val="002F642A"/>
    <w:rsid w:val="0030067D"/>
    <w:rsid w:val="00301677"/>
    <w:rsid w:val="003037CD"/>
    <w:rsid w:val="00304057"/>
    <w:rsid w:val="00306BC8"/>
    <w:rsid w:val="00307C07"/>
    <w:rsid w:val="00310923"/>
    <w:rsid w:val="00311F1A"/>
    <w:rsid w:val="003120E3"/>
    <w:rsid w:val="00312CA6"/>
    <w:rsid w:val="0031307D"/>
    <w:rsid w:val="003140BC"/>
    <w:rsid w:val="00315AE8"/>
    <w:rsid w:val="00315D99"/>
    <w:rsid w:val="00316107"/>
    <w:rsid w:val="003209B0"/>
    <w:rsid w:val="00321F35"/>
    <w:rsid w:val="00321F62"/>
    <w:rsid w:val="003234EA"/>
    <w:rsid w:val="00326978"/>
    <w:rsid w:val="0032732C"/>
    <w:rsid w:val="00331760"/>
    <w:rsid w:val="003321D3"/>
    <w:rsid w:val="00332DB7"/>
    <w:rsid w:val="00333AE9"/>
    <w:rsid w:val="00335765"/>
    <w:rsid w:val="00335C63"/>
    <w:rsid w:val="00336124"/>
    <w:rsid w:val="00336283"/>
    <w:rsid w:val="003405D6"/>
    <w:rsid w:val="0034097A"/>
    <w:rsid w:val="00340B92"/>
    <w:rsid w:val="00341C0A"/>
    <w:rsid w:val="00342515"/>
    <w:rsid w:val="00342A56"/>
    <w:rsid w:val="00345BDF"/>
    <w:rsid w:val="003513D6"/>
    <w:rsid w:val="00351B9A"/>
    <w:rsid w:val="00353148"/>
    <w:rsid w:val="0035340F"/>
    <w:rsid w:val="00355E84"/>
    <w:rsid w:val="00356561"/>
    <w:rsid w:val="003568FB"/>
    <w:rsid w:val="003602A0"/>
    <w:rsid w:val="003608F3"/>
    <w:rsid w:val="00362494"/>
    <w:rsid w:val="00362DEF"/>
    <w:rsid w:val="00363C73"/>
    <w:rsid w:val="003643F2"/>
    <w:rsid w:val="0037083D"/>
    <w:rsid w:val="00370894"/>
    <w:rsid w:val="00371DA2"/>
    <w:rsid w:val="00375D1A"/>
    <w:rsid w:val="003773DF"/>
    <w:rsid w:val="0037752E"/>
    <w:rsid w:val="00377CCA"/>
    <w:rsid w:val="003811E2"/>
    <w:rsid w:val="00383724"/>
    <w:rsid w:val="003839BA"/>
    <w:rsid w:val="0038420A"/>
    <w:rsid w:val="00384866"/>
    <w:rsid w:val="003854BA"/>
    <w:rsid w:val="00385FFC"/>
    <w:rsid w:val="00387075"/>
    <w:rsid w:val="0038724C"/>
    <w:rsid w:val="003906A7"/>
    <w:rsid w:val="003924A8"/>
    <w:rsid w:val="003935C0"/>
    <w:rsid w:val="0039443C"/>
    <w:rsid w:val="00394516"/>
    <w:rsid w:val="00394F41"/>
    <w:rsid w:val="0039547A"/>
    <w:rsid w:val="00395817"/>
    <w:rsid w:val="003A1F5F"/>
    <w:rsid w:val="003A2F88"/>
    <w:rsid w:val="003A41EA"/>
    <w:rsid w:val="003A4B09"/>
    <w:rsid w:val="003A6E06"/>
    <w:rsid w:val="003A6E2C"/>
    <w:rsid w:val="003A7D0D"/>
    <w:rsid w:val="003B0427"/>
    <w:rsid w:val="003B0529"/>
    <w:rsid w:val="003B4623"/>
    <w:rsid w:val="003B5788"/>
    <w:rsid w:val="003B5B02"/>
    <w:rsid w:val="003B6B13"/>
    <w:rsid w:val="003B7836"/>
    <w:rsid w:val="003B792D"/>
    <w:rsid w:val="003B7AAA"/>
    <w:rsid w:val="003C6A8D"/>
    <w:rsid w:val="003C710A"/>
    <w:rsid w:val="003D0BAC"/>
    <w:rsid w:val="003D2FC4"/>
    <w:rsid w:val="003D37EE"/>
    <w:rsid w:val="003D4667"/>
    <w:rsid w:val="003D5422"/>
    <w:rsid w:val="003D5B57"/>
    <w:rsid w:val="003D6DD2"/>
    <w:rsid w:val="003E04E8"/>
    <w:rsid w:val="003E14AE"/>
    <w:rsid w:val="003E1B3C"/>
    <w:rsid w:val="003E2A21"/>
    <w:rsid w:val="003E36F1"/>
    <w:rsid w:val="003E4B3B"/>
    <w:rsid w:val="003E51A8"/>
    <w:rsid w:val="003E6C41"/>
    <w:rsid w:val="003E6E23"/>
    <w:rsid w:val="003E78F1"/>
    <w:rsid w:val="003F1E95"/>
    <w:rsid w:val="003F2EE9"/>
    <w:rsid w:val="003F2EF9"/>
    <w:rsid w:val="003F4164"/>
    <w:rsid w:val="003F5E10"/>
    <w:rsid w:val="003F7AD1"/>
    <w:rsid w:val="003F7EB0"/>
    <w:rsid w:val="004004CF"/>
    <w:rsid w:val="0040409E"/>
    <w:rsid w:val="00410FC1"/>
    <w:rsid w:val="004116E0"/>
    <w:rsid w:val="00421B8D"/>
    <w:rsid w:val="00421F06"/>
    <w:rsid w:val="00422005"/>
    <w:rsid w:val="00423848"/>
    <w:rsid w:val="00423C16"/>
    <w:rsid w:val="00424897"/>
    <w:rsid w:val="00424B6F"/>
    <w:rsid w:val="004268C1"/>
    <w:rsid w:val="00426A8E"/>
    <w:rsid w:val="00430BCB"/>
    <w:rsid w:val="00432AFC"/>
    <w:rsid w:val="00432E6F"/>
    <w:rsid w:val="00434AA8"/>
    <w:rsid w:val="00434CAB"/>
    <w:rsid w:val="00435833"/>
    <w:rsid w:val="0044285D"/>
    <w:rsid w:val="00445307"/>
    <w:rsid w:val="00446A20"/>
    <w:rsid w:val="00446FF5"/>
    <w:rsid w:val="00447FEF"/>
    <w:rsid w:val="004503E1"/>
    <w:rsid w:val="00450D38"/>
    <w:rsid w:val="00452964"/>
    <w:rsid w:val="00452E61"/>
    <w:rsid w:val="0045328B"/>
    <w:rsid w:val="0045392A"/>
    <w:rsid w:val="0045399D"/>
    <w:rsid w:val="004539A9"/>
    <w:rsid w:val="00456006"/>
    <w:rsid w:val="0045610F"/>
    <w:rsid w:val="0045646A"/>
    <w:rsid w:val="004577E9"/>
    <w:rsid w:val="004617F1"/>
    <w:rsid w:val="0046629D"/>
    <w:rsid w:val="0046776C"/>
    <w:rsid w:val="00471B99"/>
    <w:rsid w:val="004730A7"/>
    <w:rsid w:val="00473C1F"/>
    <w:rsid w:val="004740BC"/>
    <w:rsid w:val="0047448E"/>
    <w:rsid w:val="00476B59"/>
    <w:rsid w:val="004848E3"/>
    <w:rsid w:val="0048689A"/>
    <w:rsid w:val="00487461"/>
    <w:rsid w:val="00487D49"/>
    <w:rsid w:val="00487F68"/>
    <w:rsid w:val="00491A42"/>
    <w:rsid w:val="004A1E12"/>
    <w:rsid w:val="004A2C71"/>
    <w:rsid w:val="004A3323"/>
    <w:rsid w:val="004A3F7D"/>
    <w:rsid w:val="004A4937"/>
    <w:rsid w:val="004A5030"/>
    <w:rsid w:val="004A6626"/>
    <w:rsid w:val="004B0DE0"/>
    <w:rsid w:val="004B2501"/>
    <w:rsid w:val="004B2559"/>
    <w:rsid w:val="004B2A5F"/>
    <w:rsid w:val="004B312A"/>
    <w:rsid w:val="004B3354"/>
    <w:rsid w:val="004B453A"/>
    <w:rsid w:val="004B4790"/>
    <w:rsid w:val="004B4CEB"/>
    <w:rsid w:val="004B5F28"/>
    <w:rsid w:val="004B65FE"/>
    <w:rsid w:val="004B6F93"/>
    <w:rsid w:val="004C0004"/>
    <w:rsid w:val="004C1422"/>
    <w:rsid w:val="004C143A"/>
    <w:rsid w:val="004C17D1"/>
    <w:rsid w:val="004C2870"/>
    <w:rsid w:val="004C2EDF"/>
    <w:rsid w:val="004C3B0B"/>
    <w:rsid w:val="004C3DFC"/>
    <w:rsid w:val="004C49E0"/>
    <w:rsid w:val="004C6125"/>
    <w:rsid w:val="004D26BD"/>
    <w:rsid w:val="004D2D30"/>
    <w:rsid w:val="004D31BC"/>
    <w:rsid w:val="004D3FAA"/>
    <w:rsid w:val="004D4848"/>
    <w:rsid w:val="004D4B64"/>
    <w:rsid w:val="004D4CEC"/>
    <w:rsid w:val="004D6113"/>
    <w:rsid w:val="004D793E"/>
    <w:rsid w:val="004E0F6F"/>
    <w:rsid w:val="004E2DD2"/>
    <w:rsid w:val="004E2EEB"/>
    <w:rsid w:val="004E3CFE"/>
    <w:rsid w:val="004E4459"/>
    <w:rsid w:val="004E475C"/>
    <w:rsid w:val="004E5820"/>
    <w:rsid w:val="004E6E7C"/>
    <w:rsid w:val="004E6E94"/>
    <w:rsid w:val="004F0A68"/>
    <w:rsid w:val="004F1481"/>
    <w:rsid w:val="004F4294"/>
    <w:rsid w:val="004F5327"/>
    <w:rsid w:val="004F53A5"/>
    <w:rsid w:val="004F5523"/>
    <w:rsid w:val="00500C75"/>
    <w:rsid w:val="00500D1A"/>
    <w:rsid w:val="0050263E"/>
    <w:rsid w:val="00502932"/>
    <w:rsid w:val="00502FB7"/>
    <w:rsid w:val="005048EC"/>
    <w:rsid w:val="0050714E"/>
    <w:rsid w:val="00510738"/>
    <w:rsid w:val="00510745"/>
    <w:rsid w:val="00511A40"/>
    <w:rsid w:val="00511A58"/>
    <w:rsid w:val="005123AE"/>
    <w:rsid w:val="00512D85"/>
    <w:rsid w:val="00513D1D"/>
    <w:rsid w:val="00514877"/>
    <w:rsid w:val="00514F3C"/>
    <w:rsid w:val="00517A9E"/>
    <w:rsid w:val="00520521"/>
    <w:rsid w:val="0052174C"/>
    <w:rsid w:val="005220C9"/>
    <w:rsid w:val="00523517"/>
    <w:rsid w:val="00524070"/>
    <w:rsid w:val="005240F6"/>
    <w:rsid w:val="00524546"/>
    <w:rsid w:val="00524984"/>
    <w:rsid w:val="00524CF8"/>
    <w:rsid w:val="005253CC"/>
    <w:rsid w:val="00525976"/>
    <w:rsid w:val="00527F63"/>
    <w:rsid w:val="00532F6E"/>
    <w:rsid w:val="00533CE8"/>
    <w:rsid w:val="00534C1B"/>
    <w:rsid w:val="00535E29"/>
    <w:rsid w:val="00536743"/>
    <w:rsid w:val="005368F2"/>
    <w:rsid w:val="00536E14"/>
    <w:rsid w:val="00537510"/>
    <w:rsid w:val="0053762A"/>
    <w:rsid w:val="00537ED7"/>
    <w:rsid w:val="00540CB8"/>
    <w:rsid w:val="00541BE3"/>
    <w:rsid w:val="00542D13"/>
    <w:rsid w:val="00544940"/>
    <w:rsid w:val="00545CA9"/>
    <w:rsid w:val="00546A15"/>
    <w:rsid w:val="005470D6"/>
    <w:rsid w:val="0054777F"/>
    <w:rsid w:val="00551A26"/>
    <w:rsid w:val="00551E92"/>
    <w:rsid w:val="005529AA"/>
    <w:rsid w:val="00552C5A"/>
    <w:rsid w:val="005535A2"/>
    <w:rsid w:val="00556FD8"/>
    <w:rsid w:val="00557972"/>
    <w:rsid w:val="00560B27"/>
    <w:rsid w:val="005616C4"/>
    <w:rsid w:val="005622D8"/>
    <w:rsid w:val="005645AE"/>
    <w:rsid w:val="00566152"/>
    <w:rsid w:val="00566E9B"/>
    <w:rsid w:val="0057148D"/>
    <w:rsid w:val="005718A7"/>
    <w:rsid w:val="00572A68"/>
    <w:rsid w:val="00574A1A"/>
    <w:rsid w:val="005750BB"/>
    <w:rsid w:val="00576FFF"/>
    <w:rsid w:val="005773C4"/>
    <w:rsid w:val="005809C4"/>
    <w:rsid w:val="0058268E"/>
    <w:rsid w:val="00584A8D"/>
    <w:rsid w:val="005864A4"/>
    <w:rsid w:val="00587371"/>
    <w:rsid w:val="00590320"/>
    <w:rsid w:val="00592FE5"/>
    <w:rsid w:val="005A331F"/>
    <w:rsid w:val="005A495F"/>
    <w:rsid w:val="005A4B9E"/>
    <w:rsid w:val="005A5EC6"/>
    <w:rsid w:val="005A6037"/>
    <w:rsid w:val="005B0D8A"/>
    <w:rsid w:val="005B1317"/>
    <w:rsid w:val="005B236C"/>
    <w:rsid w:val="005B376D"/>
    <w:rsid w:val="005B3A83"/>
    <w:rsid w:val="005B45CF"/>
    <w:rsid w:val="005B4B5B"/>
    <w:rsid w:val="005B6978"/>
    <w:rsid w:val="005B7172"/>
    <w:rsid w:val="005B739B"/>
    <w:rsid w:val="005C0530"/>
    <w:rsid w:val="005C0C34"/>
    <w:rsid w:val="005C2520"/>
    <w:rsid w:val="005C2BF5"/>
    <w:rsid w:val="005C2DAE"/>
    <w:rsid w:val="005C3864"/>
    <w:rsid w:val="005C4A9D"/>
    <w:rsid w:val="005C5AD6"/>
    <w:rsid w:val="005C5CF1"/>
    <w:rsid w:val="005C6E06"/>
    <w:rsid w:val="005D022A"/>
    <w:rsid w:val="005D1DC0"/>
    <w:rsid w:val="005D20B7"/>
    <w:rsid w:val="005D27B3"/>
    <w:rsid w:val="005D365C"/>
    <w:rsid w:val="005D3C83"/>
    <w:rsid w:val="005D5458"/>
    <w:rsid w:val="005D56C7"/>
    <w:rsid w:val="005D622D"/>
    <w:rsid w:val="005E0661"/>
    <w:rsid w:val="005E083F"/>
    <w:rsid w:val="005E085A"/>
    <w:rsid w:val="005E2C63"/>
    <w:rsid w:val="005E3D0D"/>
    <w:rsid w:val="005E53D4"/>
    <w:rsid w:val="005E582F"/>
    <w:rsid w:val="005E5843"/>
    <w:rsid w:val="005E6FDD"/>
    <w:rsid w:val="005E7104"/>
    <w:rsid w:val="005E7267"/>
    <w:rsid w:val="005E7E64"/>
    <w:rsid w:val="005E7E90"/>
    <w:rsid w:val="005F00FB"/>
    <w:rsid w:val="005F0CB4"/>
    <w:rsid w:val="005F2069"/>
    <w:rsid w:val="005F525D"/>
    <w:rsid w:val="005F5C3A"/>
    <w:rsid w:val="005F7C91"/>
    <w:rsid w:val="005F7C9E"/>
    <w:rsid w:val="00601196"/>
    <w:rsid w:val="006044C9"/>
    <w:rsid w:val="00610662"/>
    <w:rsid w:val="00611537"/>
    <w:rsid w:val="00611DBC"/>
    <w:rsid w:val="00612656"/>
    <w:rsid w:val="00613F71"/>
    <w:rsid w:val="00614647"/>
    <w:rsid w:val="00615328"/>
    <w:rsid w:val="00616C0A"/>
    <w:rsid w:val="00617C14"/>
    <w:rsid w:val="00620BC2"/>
    <w:rsid w:val="0062129C"/>
    <w:rsid w:val="0062244B"/>
    <w:rsid w:val="006253A5"/>
    <w:rsid w:val="00625ABC"/>
    <w:rsid w:val="006274F2"/>
    <w:rsid w:val="006316FE"/>
    <w:rsid w:val="00631A50"/>
    <w:rsid w:val="006342AC"/>
    <w:rsid w:val="00634E93"/>
    <w:rsid w:val="006376B8"/>
    <w:rsid w:val="00637DA2"/>
    <w:rsid w:val="006404DB"/>
    <w:rsid w:val="00640EB3"/>
    <w:rsid w:val="006441C2"/>
    <w:rsid w:val="00645BFE"/>
    <w:rsid w:val="00650834"/>
    <w:rsid w:val="00653230"/>
    <w:rsid w:val="0065369F"/>
    <w:rsid w:val="00653AAC"/>
    <w:rsid w:val="00654751"/>
    <w:rsid w:val="006552BF"/>
    <w:rsid w:val="00655592"/>
    <w:rsid w:val="006568E3"/>
    <w:rsid w:val="00657ECB"/>
    <w:rsid w:val="00661116"/>
    <w:rsid w:val="00663BC4"/>
    <w:rsid w:val="00664005"/>
    <w:rsid w:val="00664886"/>
    <w:rsid w:val="0066673E"/>
    <w:rsid w:val="006678D7"/>
    <w:rsid w:val="00671CC4"/>
    <w:rsid w:val="0067319C"/>
    <w:rsid w:val="00680981"/>
    <w:rsid w:val="00681609"/>
    <w:rsid w:val="00684D67"/>
    <w:rsid w:val="00686D2D"/>
    <w:rsid w:val="0068716A"/>
    <w:rsid w:val="0068764D"/>
    <w:rsid w:val="00687A82"/>
    <w:rsid w:val="006903B6"/>
    <w:rsid w:val="0069202C"/>
    <w:rsid w:val="0069270E"/>
    <w:rsid w:val="00692E35"/>
    <w:rsid w:val="00695C2A"/>
    <w:rsid w:val="00695D42"/>
    <w:rsid w:val="00695E80"/>
    <w:rsid w:val="006966F3"/>
    <w:rsid w:val="006A2B75"/>
    <w:rsid w:val="006A3F92"/>
    <w:rsid w:val="006A3FBA"/>
    <w:rsid w:val="006B07E2"/>
    <w:rsid w:val="006B312B"/>
    <w:rsid w:val="006B507A"/>
    <w:rsid w:val="006C05D1"/>
    <w:rsid w:val="006C0BF7"/>
    <w:rsid w:val="006C190D"/>
    <w:rsid w:val="006C3245"/>
    <w:rsid w:val="006C405A"/>
    <w:rsid w:val="006C465D"/>
    <w:rsid w:val="006C4BA9"/>
    <w:rsid w:val="006C4ED4"/>
    <w:rsid w:val="006C55C3"/>
    <w:rsid w:val="006C613B"/>
    <w:rsid w:val="006C659D"/>
    <w:rsid w:val="006D025B"/>
    <w:rsid w:val="006D164B"/>
    <w:rsid w:val="006D2A19"/>
    <w:rsid w:val="006D743A"/>
    <w:rsid w:val="006E11F5"/>
    <w:rsid w:val="006E130E"/>
    <w:rsid w:val="006E52FE"/>
    <w:rsid w:val="006E667D"/>
    <w:rsid w:val="006E6840"/>
    <w:rsid w:val="006E6B36"/>
    <w:rsid w:val="006E7368"/>
    <w:rsid w:val="006F0850"/>
    <w:rsid w:val="006F16C6"/>
    <w:rsid w:val="006F2FDE"/>
    <w:rsid w:val="006F5956"/>
    <w:rsid w:val="006F5A3C"/>
    <w:rsid w:val="006F6930"/>
    <w:rsid w:val="00701F05"/>
    <w:rsid w:val="007021C4"/>
    <w:rsid w:val="007033C1"/>
    <w:rsid w:val="00706363"/>
    <w:rsid w:val="0070650F"/>
    <w:rsid w:val="00711408"/>
    <w:rsid w:val="0071300C"/>
    <w:rsid w:val="00714C49"/>
    <w:rsid w:val="00716C3F"/>
    <w:rsid w:val="007235C8"/>
    <w:rsid w:val="00723B20"/>
    <w:rsid w:val="007242D2"/>
    <w:rsid w:val="00724893"/>
    <w:rsid w:val="00724F60"/>
    <w:rsid w:val="007251CF"/>
    <w:rsid w:val="00725287"/>
    <w:rsid w:val="007255F7"/>
    <w:rsid w:val="00725784"/>
    <w:rsid w:val="00725B74"/>
    <w:rsid w:val="00725F77"/>
    <w:rsid w:val="00726DE6"/>
    <w:rsid w:val="007300F5"/>
    <w:rsid w:val="00733F43"/>
    <w:rsid w:val="00734779"/>
    <w:rsid w:val="0073715A"/>
    <w:rsid w:val="00737211"/>
    <w:rsid w:val="00740793"/>
    <w:rsid w:val="00740F59"/>
    <w:rsid w:val="00742844"/>
    <w:rsid w:val="00742AB3"/>
    <w:rsid w:val="00742E3D"/>
    <w:rsid w:val="007436D8"/>
    <w:rsid w:val="007466C9"/>
    <w:rsid w:val="00746BAB"/>
    <w:rsid w:val="0074771E"/>
    <w:rsid w:val="00750285"/>
    <w:rsid w:val="007508C6"/>
    <w:rsid w:val="007518A7"/>
    <w:rsid w:val="00752449"/>
    <w:rsid w:val="0075256D"/>
    <w:rsid w:val="007556B3"/>
    <w:rsid w:val="007560C8"/>
    <w:rsid w:val="00756E68"/>
    <w:rsid w:val="007623A2"/>
    <w:rsid w:val="0076495A"/>
    <w:rsid w:val="00764EEC"/>
    <w:rsid w:val="007650CF"/>
    <w:rsid w:val="0076511E"/>
    <w:rsid w:val="007658E8"/>
    <w:rsid w:val="00765CE1"/>
    <w:rsid w:val="00767843"/>
    <w:rsid w:val="00773E35"/>
    <w:rsid w:val="00776116"/>
    <w:rsid w:val="00780197"/>
    <w:rsid w:val="007828E3"/>
    <w:rsid w:val="00785048"/>
    <w:rsid w:val="007865AF"/>
    <w:rsid w:val="007869BB"/>
    <w:rsid w:val="00786D22"/>
    <w:rsid w:val="00792B38"/>
    <w:rsid w:val="00793194"/>
    <w:rsid w:val="007953CD"/>
    <w:rsid w:val="00795FC9"/>
    <w:rsid w:val="00797078"/>
    <w:rsid w:val="007975E7"/>
    <w:rsid w:val="007A10AA"/>
    <w:rsid w:val="007A21EB"/>
    <w:rsid w:val="007A2656"/>
    <w:rsid w:val="007A51D1"/>
    <w:rsid w:val="007A5BBA"/>
    <w:rsid w:val="007A6ED1"/>
    <w:rsid w:val="007B44F0"/>
    <w:rsid w:val="007B4A6B"/>
    <w:rsid w:val="007C0C02"/>
    <w:rsid w:val="007C33A5"/>
    <w:rsid w:val="007C478F"/>
    <w:rsid w:val="007C606B"/>
    <w:rsid w:val="007C64F9"/>
    <w:rsid w:val="007C6B34"/>
    <w:rsid w:val="007D11B8"/>
    <w:rsid w:val="007D1E67"/>
    <w:rsid w:val="007D32CB"/>
    <w:rsid w:val="007D5469"/>
    <w:rsid w:val="007E2E9C"/>
    <w:rsid w:val="007E4B51"/>
    <w:rsid w:val="007E55D2"/>
    <w:rsid w:val="007E7565"/>
    <w:rsid w:val="007F3A49"/>
    <w:rsid w:val="007F78B3"/>
    <w:rsid w:val="007F7988"/>
    <w:rsid w:val="007F7BFD"/>
    <w:rsid w:val="0080092E"/>
    <w:rsid w:val="00800ECE"/>
    <w:rsid w:val="00803F37"/>
    <w:rsid w:val="00806784"/>
    <w:rsid w:val="00806D84"/>
    <w:rsid w:val="008071F6"/>
    <w:rsid w:val="008111FF"/>
    <w:rsid w:val="008115C9"/>
    <w:rsid w:val="008121AC"/>
    <w:rsid w:val="008146FC"/>
    <w:rsid w:val="008155B0"/>
    <w:rsid w:val="00816C47"/>
    <w:rsid w:val="00820184"/>
    <w:rsid w:val="0082056A"/>
    <w:rsid w:val="0082090D"/>
    <w:rsid w:val="00824D8D"/>
    <w:rsid w:val="00824E09"/>
    <w:rsid w:val="0082709D"/>
    <w:rsid w:val="00827722"/>
    <w:rsid w:val="00827C3E"/>
    <w:rsid w:val="00833E6A"/>
    <w:rsid w:val="00833FBD"/>
    <w:rsid w:val="0083722C"/>
    <w:rsid w:val="00837856"/>
    <w:rsid w:val="0084494E"/>
    <w:rsid w:val="0084508F"/>
    <w:rsid w:val="008505BE"/>
    <w:rsid w:val="00850C71"/>
    <w:rsid w:val="0085122D"/>
    <w:rsid w:val="008524D0"/>
    <w:rsid w:val="00853CE8"/>
    <w:rsid w:val="008544C7"/>
    <w:rsid w:val="0086082D"/>
    <w:rsid w:val="00860BCE"/>
    <w:rsid w:val="00861C4D"/>
    <w:rsid w:val="00862C8F"/>
    <w:rsid w:val="00863B5F"/>
    <w:rsid w:val="0086422C"/>
    <w:rsid w:val="00864E57"/>
    <w:rsid w:val="0086532B"/>
    <w:rsid w:val="00867645"/>
    <w:rsid w:val="0086792B"/>
    <w:rsid w:val="00867B9B"/>
    <w:rsid w:val="008704BF"/>
    <w:rsid w:val="00872D6C"/>
    <w:rsid w:val="00873169"/>
    <w:rsid w:val="00874083"/>
    <w:rsid w:val="00874D13"/>
    <w:rsid w:val="00877B61"/>
    <w:rsid w:val="008805D8"/>
    <w:rsid w:val="00880B57"/>
    <w:rsid w:val="00881F26"/>
    <w:rsid w:val="0088207E"/>
    <w:rsid w:val="00882975"/>
    <w:rsid w:val="00883EF7"/>
    <w:rsid w:val="00890802"/>
    <w:rsid w:val="00891180"/>
    <w:rsid w:val="008924AA"/>
    <w:rsid w:val="008947E8"/>
    <w:rsid w:val="008967F8"/>
    <w:rsid w:val="008A0152"/>
    <w:rsid w:val="008A257F"/>
    <w:rsid w:val="008A3671"/>
    <w:rsid w:val="008A4A1D"/>
    <w:rsid w:val="008A4F90"/>
    <w:rsid w:val="008A5B7F"/>
    <w:rsid w:val="008A7AD1"/>
    <w:rsid w:val="008B1346"/>
    <w:rsid w:val="008B2289"/>
    <w:rsid w:val="008B32E5"/>
    <w:rsid w:val="008B3D78"/>
    <w:rsid w:val="008B4690"/>
    <w:rsid w:val="008B63C0"/>
    <w:rsid w:val="008B7BE7"/>
    <w:rsid w:val="008C0D60"/>
    <w:rsid w:val="008C1931"/>
    <w:rsid w:val="008C1C04"/>
    <w:rsid w:val="008C2906"/>
    <w:rsid w:val="008C430D"/>
    <w:rsid w:val="008C4D92"/>
    <w:rsid w:val="008C54AD"/>
    <w:rsid w:val="008C79DD"/>
    <w:rsid w:val="008D2A15"/>
    <w:rsid w:val="008D3B62"/>
    <w:rsid w:val="008D6474"/>
    <w:rsid w:val="008E0F43"/>
    <w:rsid w:val="008E1955"/>
    <w:rsid w:val="008E23BC"/>
    <w:rsid w:val="008E7BAC"/>
    <w:rsid w:val="008F163F"/>
    <w:rsid w:val="008F3353"/>
    <w:rsid w:val="008F5196"/>
    <w:rsid w:val="00900191"/>
    <w:rsid w:val="00900790"/>
    <w:rsid w:val="009007E6"/>
    <w:rsid w:val="00903345"/>
    <w:rsid w:val="00904048"/>
    <w:rsid w:val="00905A4E"/>
    <w:rsid w:val="00906BF3"/>
    <w:rsid w:val="00907818"/>
    <w:rsid w:val="00907D7A"/>
    <w:rsid w:val="00907F73"/>
    <w:rsid w:val="009109DC"/>
    <w:rsid w:val="0091174D"/>
    <w:rsid w:val="009134B3"/>
    <w:rsid w:val="00914CC4"/>
    <w:rsid w:val="009152D8"/>
    <w:rsid w:val="009171F6"/>
    <w:rsid w:val="00917EE3"/>
    <w:rsid w:val="00921DF0"/>
    <w:rsid w:val="009230F8"/>
    <w:rsid w:val="009239FA"/>
    <w:rsid w:val="0092421E"/>
    <w:rsid w:val="00930C14"/>
    <w:rsid w:val="009313F1"/>
    <w:rsid w:val="00931DEB"/>
    <w:rsid w:val="009334DF"/>
    <w:rsid w:val="00934607"/>
    <w:rsid w:val="00935227"/>
    <w:rsid w:val="00936D7E"/>
    <w:rsid w:val="00941784"/>
    <w:rsid w:val="00942F24"/>
    <w:rsid w:val="00943B50"/>
    <w:rsid w:val="0094419A"/>
    <w:rsid w:val="009441A4"/>
    <w:rsid w:val="00945531"/>
    <w:rsid w:val="00946540"/>
    <w:rsid w:val="00947721"/>
    <w:rsid w:val="009518A6"/>
    <w:rsid w:val="00951BDC"/>
    <w:rsid w:val="00952FA4"/>
    <w:rsid w:val="00953EA1"/>
    <w:rsid w:val="00954D9C"/>
    <w:rsid w:val="00955E79"/>
    <w:rsid w:val="00957048"/>
    <w:rsid w:val="009608A9"/>
    <w:rsid w:val="0096178C"/>
    <w:rsid w:val="00962773"/>
    <w:rsid w:val="0096353A"/>
    <w:rsid w:val="009636D3"/>
    <w:rsid w:val="00964EA8"/>
    <w:rsid w:val="009657DC"/>
    <w:rsid w:val="009676D8"/>
    <w:rsid w:val="00970160"/>
    <w:rsid w:val="0097394D"/>
    <w:rsid w:val="009745B1"/>
    <w:rsid w:val="009753E8"/>
    <w:rsid w:val="009777AB"/>
    <w:rsid w:val="009805B9"/>
    <w:rsid w:val="0098061C"/>
    <w:rsid w:val="00981497"/>
    <w:rsid w:val="00986895"/>
    <w:rsid w:val="009874A1"/>
    <w:rsid w:val="009900BE"/>
    <w:rsid w:val="00992420"/>
    <w:rsid w:val="00992E56"/>
    <w:rsid w:val="0099516A"/>
    <w:rsid w:val="00997F57"/>
    <w:rsid w:val="009A3552"/>
    <w:rsid w:val="009A40F0"/>
    <w:rsid w:val="009A6C10"/>
    <w:rsid w:val="009A6C46"/>
    <w:rsid w:val="009A70A9"/>
    <w:rsid w:val="009B3C81"/>
    <w:rsid w:val="009B5ADF"/>
    <w:rsid w:val="009B6270"/>
    <w:rsid w:val="009B724C"/>
    <w:rsid w:val="009B7E83"/>
    <w:rsid w:val="009C015D"/>
    <w:rsid w:val="009C1E5B"/>
    <w:rsid w:val="009C47DB"/>
    <w:rsid w:val="009C4C29"/>
    <w:rsid w:val="009C6314"/>
    <w:rsid w:val="009C654B"/>
    <w:rsid w:val="009C6B59"/>
    <w:rsid w:val="009C73F7"/>
    <w:rsid w:val="009C7C13"/>
    <w:rsid w:val="009C7FD2"/>
    <w:rsid w:val="009D2E54"/>
    <w:rsid w:val="009D6135"/>
    <w:rsid w:val="009D7B09"/>
    <w:rsid w:val="009D7E7D"/>
    <w:rsid w:val="009E00B8"/>
    <w:rsid w:val="009E214E"/>
    <w:rsid w:val="009E2749"/>
    <w:rsid w:val="009E274C"/>
    <w:rsid w:val="009E36B0"/>
    <w:rsid w:val="009E4A70"/>
    <w:rsid w:val="009E6213"/>
    <w:rsid w:val="009E6D17"/>
    <w:rsid w:val="009E76A1"/>
    <w:rsid w:val="009E76AD"/>
    <w:rsid w:val="009F00F2"/>
    <w:rsid w:val="009F01B8"/>
    <w:rsid w:val="009F16F5"/>
    <w:rsid w:val="009F22E3"/>
    <w:rsid w:val="009F3B4C"/>
    <w:rsid w:val="009F3CD4"/>
    <w:rsid w:val="009F4C83"/>
    <w:rsid w:val="009F4FC4"/>
    <w:rsid w:val="009F677E"/>
    <w:rsid w:val="009F67F4"/>
    <w:rsid w:val="009F6D23"/>
    <w:rsid w:val="00A01E88"/>
    <w:rsid w:val="00A02945"/>
    <w:rsid w:val="00A0339B"/>
    <w:rsid w:val="00A0535E"/>
    <w:rsid w:val="00A07098"/>
    <w:rsid w:val="00A10AB6"/>
    <w:rsid w:val="00A12132"/>
    <w:rsid w:val="00A12212"/>
    <w:rsid w:val="00A12E7C"/>
    <w:rsid w:val="00A14EBF"/>
    <w:rsid w:val="00A155A0"/>
    <w:rsid w:val="00A17069"/>
    <w:rsid w:val="00A21462"/>
    <w:rsid w:val="00A21A85"/>
    <w:rsid w:val="00A2260D"/>
    <w:rsid w:val="00A25573"/>
    <w:rsid w:val="00A25852"/>
    <w:rsid w:val="00A25DA1"/>
    <w:rsid w:val="00A2740F"/>
    <w:rsid w:val="00A31A76"/>
    <w:rsid w:val="00A33ABA"/>
    <w:rsid w:val="00A34053"/>
    <w:rsid w:val="00A3485A"/>
    <w:rsid w:val="00A359E3"/>
    <w:rsid w:val="00A36072"/>
    <w:rsid w:val="00A3756A"/>
    <w:rsid w:val="00A4264C"/>
    <w:rsid w:val="00A4278A"/>
    <w:rsid w:val="00A42BD5"/>
    <w:rsid w:val="00A42C12"/>
    <w:rsid w:val="00A444FE"/>
    <w:rsid w:val="00A4514D"/>
    <w:rsid w:val="00A4757B"/>
    <w:rsid w:val="00A475D1"/>
    <w:rsid w:val="00A47EB1"/>
    <w:rsid w:val="00A5066C"/>
    <w:rsid w:val="00A511C2"/>
    <w:rsid w:val="00A633B4"/>
    <w:rsid w:val="00A66742"/>
    <w:rsid w:val="00A66D49"/>
    <w:rsid w:val="00A6762F"/>
    <w:rsid w:val="00A729EA"/>
    <w:rsid w:val="00A72F45"/>
    <w:rsid w:val="00A750E3"/>
    <w:rsid w:val="00A752B4"/>
    <w:rsid w:val="00A77553"/>
    <w:rsid w:val="00A7796C"/>
    <w:rsid w:val="00A77B12"/>
    <w:rsid w:val="00A77B2A"/>
    <w:rsid w:val="00A80395"/>
    <w:rsid w:val="00A81577"/>
    <w:rsid w:val="00A82E87"/>
    <w:rsid w:val="00A836F3"/>
    <w:rsid w:val="00A84B42"/>
    <w:rsid w:val="00A84BE6"/>
    <w:rsid w:val="00A85682"/>
    <w:rsid w:val="00A867FD"/>
    <w:rsid w:val="00A87EFB"/>
    <w:rsid w:val="00A92DE4"/>
    <w:rsid w:val="00A95318"/>
    <w:rsid w:val="00A95A1F"/>
    <w:rsid w:val="00A96FB0"/>
    <w:rsid w:val="00AA0A5D"/>
    <w:rsid w:val="00AA2399"/>
    <w:rsid w:val="00AA4D44"/>
    <w:rsid w:val="00AA515B"/>
    <w:rsid w:val="00AA63D5"/>
    <w:rsid w:val="00AA6426"/>
    <w:rsid w:val="00AA7394"/>
    <w:rsid w:val="00AB0E39"/>
    <w:rsid w:val="00AB1A48"/>
    <w:rsid w:val="00AB4002"/>
    <w:rsid w:val="00AB45F0"/>
    <w:rsid w:val="00AB46AA"/>
    <w:rsid w:val="00AB4AFB"/>
    <w:rsid w:val="00AB5D02"/>
    <w:rsid w:val="00AB67C7"/>
    <w:rsid w:val="00AB6AE8"/>
    <w:rsid w:val="00AB7F4A"/>
    <w:rsid w:val="00AC1077"/>
    <w:rsid w:val="00AC1450"/>
    <w:rsid w:val="00AC203B"/>
    <w:rsid w:val="00AC24DD"/>
    <w:rsid w:val="00AC416F"/>
    <w:rsid w:val="00AC4C5E"/>
    <w:rsid w:val="00AC4C7D"/>
    <w:rsid w:val="00AC5045"/>
    <w:rsid w:val="00AC5AEB"/>
    <w:rsid w:val="00AC79A9"/>
    <w:rsid w:val="00AD07A3"/>
    <w:rsid w:val="00AD1106"/>
    <w:rsid w:val="00AD37ED"/>
    <w:rsid w:val="00AD3A64"/>
    <w:rsid w:val="00AD5AC2"/>
    <w:rsid w:val="00AD6C09"/>
    <w:rsid w:val="00AD7D3A"/>
    <w:rsid w:val="00AE0683"/>
    <w:rsid w:val="00AE2C58"/>
    <w:rsid w:val="00AE34CF"/>
    <w:rsid w:val="00AE45FB"/>
    <w:rsid w:val="00AE49B1"/>
    <w:rsid w:val="00AF211C"/>
    <w:rsid w:val="00AF23B5"/>
    <w:rsid w:val="00AF2DC7"/>
    <w:rsid w:val="00AF5CA9"/>
    <w:rsid w:val="00B0011E"/>
    <w:rsid w:val="00B00DAA"/>
    <w:rsid w:val="00B01453"/>
    <w:rsid w:val="00B0210D"/>
    <w:rsid w:val="00B02936"/>
    <w:rsid w:val="00B05E2D"/>
    <w:rsid w:val="00B064FD"/>
    <w:rsid w:val="00B06B57"/>
    <w:rsid w:val="00B0792D"/>
    <w:rsid w:val="00B079A7"/>
    <w:rsid w:val="00B1318D"/>
    <w:rsid w:val="00B15FCC"/>
    <w:rsid w:val="00B1795F"/>
    <w:rsid w:val="00B23D65"/>
    <w:rsid w:val="00B248FC"/>
    <w:rsid w:val="00B3182A"/>
    <w:rsid w:val="00B32798"/>
    <w:rsid w:val="00B3395A"/>
    <w:rsid w:val="00B33989"/>
    <w:rsid w:val="00B352B3"/>
    <w:rsid w:val="00B353DC"/>
    <w:rsid w:val="00B357F2"/>
    <w:rsid w:val="00B35DA0"/>
    <w:rsid w:val="00B35F7E"/>
    <w:rsid w:val="00B411FE"/>
    <w:rsid w:val="00B4218B"/>
    <w:rsid w:val="00B44E55"/>
    <w:rsid w:val="00B4665D"/>
    <w:rsid w:val="00B535C1"/>
    <w:rsid w:val="00B5512A"/>
    <w:rsid w:val="00B55D54"/>
    <w:rsid w:val="00B56C83"/>
    <w:rsid w:val="00B60223"/>
    <w:rsid w:val="00B6050E"/>
    <w:rsid w:val="00B610AE"/>
    <w:rsid w:val="00B615DD"/>
    <w:rsid w:val="00B61F00"/>
    <w:rsid w:val="00B71493"/>
    <w:rsid w:val="00B76603"/>
    <w:rsid w:val="00B76BAC"/>
    <w:rsid w:val="00B7790D"/>
    <w:rsid w:val="00B77EF9"/>
    <w:rsid w:val="00B77FC2"/>
    <w:rsid w:val="00B82DEB"/>
    <w:rsid w:val="00B85591"/>
    <w:rsid w:val="00B85A2C"/>
    <w:rsid w:val="00B86543"/>
    <w:rsid w:val="00B86992"/>
    <w:rsid w:val="00B90CCB"/>
    <w:rsid w:val="00B90CF0"/>
    <w:rsid w:val="00B91E67"/>
    <w:rsid w:val="00B920BA"/>
    <w:rsid w:val="00B92A50"/>
    <w:rsid w:val="00B933EB"/>
    <w:rsid w:val="00B949A1"/>
    <w:rsid w:val="00B967FE"/>
    <w:rsid w:val="00BA0488"/>
    <w:rsid w:val="00BA2FD1"/>
    <w:rsid w:val="00BA50AF"/>
    <w:rsid w:val="00BA5C92"/>
    <w:rsid w:val="00BA7765"/>
    <w:rsid w:val="00BA779B"/>
    <w:rsid w:val="00BA78C0"/>
    <w:rsid w:val="00BB03B6"/>
    <w:rsid w:val="00BB0BD6"/>
    <w:rsid w:val="00BB1034"/>
    <w:rsid w:val="00BB309E"/>
    <w:rsid w:val="00BB31E0"/>
    <w:rsid w:val="00BB3709"/>
    <w:rsid w:val="00BB3925"/>
    <w:rsid w:val="00BB3D01"/>
    <w:rsid w:val="00BB425D"/>
    <w:rsid w:val="00BB47FA"/>
    <w:rsid w:val="00BB4C17"/>
    <w:rsid w:val="00BB51E6"/>
    <w:rsid w:val="00BB5E06"/>
    <w:rsid w:val="00BB661B"/>
    <w:rsid w:val="00BC0F13"/>
    <w:rsid w:val="00BC1D77"/>
    <w:rsid w:val="00BC712F"/>
    <w:rsid w:val="00BD2151"/>
    <w:rsid w:val="00BD38C7"/>
    <w:rsid w:val="00BD552B"/>
    <w:rsid w:val="00BD58F6"/>
    <w:rsid w:val="00BD6306"/>
    <w:rsid w:val="00BD6B46"/>
    <w:rsid w:val="00BD6DFF"/>
    <w:rsid w:val="00BE2EEC"/>
    <w:rsid w:val="00BE469B"/>
    <w:rsid w:val="00BE6D17"/>
    <w:rsid w:val="00BF00E0"/>
    <w:rsid w:val="00BF3632"/>
    <w:rsid w:val="00BF46D8"/>
    <w:rsid w:val="00BF4CD7"/>
    <w:rsid w:val="00C0190E"/>
    <w:rsid w:val="00C023D5"/>
    <w:rsid w:val="00C03E4B"/>
    <w:rsid w:val="00C06022"/>
    <w:rsid w:val="00C07701"/>
    <w:rsid w:val="00C10F1C"/>
    <w:rsid w:val="00C1338C"/>
    <w:rsid w:val="00C15065"/>
    <w:rsid w:val="00C15686"/>
    <w:rsid w:val="00C16F74"/>
    <w:rsid w:val="00C20423"/>
    <w:rsid w:val="00C23800"/>
    <w:rsid w:val="00C24A12"/>
    <w:rsid w:val="00C2510D"/>
    <w:rsid w:val="00C25B70"/>
    <w:rsid w:val="00C26417"/>
    <w:rsid w:val="00C27656"/>
    <w:rsid w:val="00C30A3F"/>
    <w:rsid w:val="00C31809"/>
    <w:rsid w:val="00C326A0"/>
    <w:rsid w:val="00C32895"/>
    <w:rsid w:val="00C32DC5"/>
    <w:rsid w:val="00C330D6"/>
    <w:rsid w:val="00C334C1"/>
    <w:rsid w:val="00C34299"/>
    <w:rsid w:val="00C35CFE"/>
    <w:rsid w:val="00C368E2"/>
    <w:rsid w:val="00C4060B"/>
    <w:rsid w:val="00C41D25"/>
    <w:rsid w:val="00C44605"/>
    <w:rsid w:val="00C4498B"/>
    <w:rsid w:val="00C50523"/>
    <w:rsid w:val="00C508D2"/>
    <w:rsid w:val="00C509C7"/>
    <w:rsid w:val="00C51F2A"/>
    <w:rsid w:val="00C52AEE"/>
    <w:rsid w:val="00C5554D"/>
    <w:rsid w:val="00C56129"/>
    <w:rsid w:val="00C60D78"/>
    <w:rsid w:val="00C662E1"/>
    <w:rsid w:val="00C669A5"/>
    <w:rsid w:val="00C67AA2"/>
    <w:rsid w:val="00C70769"/>
    <w:rsid w:val="00C70C6F"/>
    <w:rsid w:val="00C72356"/>
    <w:rsid w:val="00C72C6F"/>
    <w:rsid w:val="00C7308F"/>
    <w:rsid w:val="00C73344"/>
    <w:rsid w:val="00C73FEA"/>
    <w:rsid w:val="00C74135"/>
    <w:rsid w:val="00C75105"/>
    <w:rsid w:val="00C76281"/>
    <w:rsid w:val="00C763D5"/>
    <w:rsid w:val="00C76B43"/>
    <w:rsid w:val="00C76B77"/>
    <w:rsid w:val="00C76E92"/>
    <w:rsid w:val="00C76FAC"/>
    <w:rsid w:val="00C7787B"/>
    <w:rsid w:val="00C77E79"/>
    <w:rsid w:val="00C77E83"/>
    <w:rsid w:val="00C80FB4"/>
    <w:rsid w:val="00C82B28"/>
    <w:rsid w:val="00C82D18"/>
    <w:rsid w:val="00C83979"/>
    <w:rsid w:val="00C84132"/>
    <w:rsid w:val="00C8515A"/>
    <w:rsid w:val="00C876AA"/>
    <w:rsid w:val="00C90DAA"/>
    <w:rsid w:val="00C91387"/>
    <w:rsid w:val="00C91C47"/>
    <w:rsid w:val="00C925E3"/>
    <w:rsid w:val="00C93507"/>
    <w:rsid w:val="00C93E26"/>
    <w:rsid w:val="00C947D4"/>
    <w:rsid w:val="00C94930"/>
    <w:rsid w:val="00C95332"/>
    <w:rsid w:val="00C954B1"/>
    <w:rsid w:val="00C954CB"/>
    <w:rsid w:val="00CA0317"/>
    <w:rsid w:val="00CA0AE9"/>
    <w:rsid w:val="00CA1E1F"/>
    <w:rsid w:val="00CA33A3"/>
    <w:rsid w:val="00CA3B78"/>
    <w:rsid w:val="00CA417B"/>
    <w:rsid w:val="00CA467E"/>
    <w:rsid w:val="00CA5295"/>
    <w:rsid w:val="00CA7A60"/>
    <w:rsid w:val="00CB08EA"/>
    <w:rsid w:val="00CB2E10"/>
    <w:rsid w:val="00CB4739"/>
    <w:rsid w:val="00CB641A"/>
    <w:rsid w:val="00CB6A24"/>
    <w:rsid w:val="00CB6C9B"/>
    <w:rsid w:val="00CC0E5F"/>
    <w:rsid w:val="00CC12E2"/>
    <w:rsid w:val="00CC19C1"/>
    <w:rsid w:val="00CC1BAD"/>
    <w:rsid w:val="00CC36F4"/>
    <w:rsid w:val="00CC4C79"/>
    <w:rsid w:val="00CC4F61"/>
    <w:rsid w:val="00CC61B0"/>
    <w:rsid w:val="00CC7488"/>
    <w:rsid w:val="00CC7AAD"/>
    <w:rsid w:val="00CD498F"/>
    <w:rsid w:val="00CD4B63"/>
    <w:rsid w:val="00CD7CE8"/>
    <w:rsid w:val="00CD7F0F"/>
    <w:rsid w:val="00CE12C9"/>
    <w:rsid w:val="00CE19AD"/>
    <w:rsid w:val="00CE7395"/>
    <w:rsid w:val="00CF1697"/>
    <w:rsid w:val="00CF212F"/>
    <w:rsid w:val="00CF523D"/>
    <w:rsid w:val="00CF527E"/>
    <w:rsid w:val="00D002BF"/>
    <w:rsid w:val="00D002CA"/>
    <w:rsid w:val="00D00540"/>
    <w:rsid w:val="00D02148"/>
    <w:rsid w:val="00D03A8F"/>
    <w:rsid w:val="00D04A9D"/>
    <w:rsid w:val="00D05BA9"/>
    <w:rsid w:val="00D062D7"/>
    <w:rsid w:val="00D06885"/>
    <w:rsid w:val="00D06963"/>
    <w:rsid w:val="00D07241"/>
    <w:rsid w:val="00D112C9"/>
    <w:rsid w:val="00D12001"/>
    <w:rsid w:val="00D12A3A"/>
    <w:rsid w:val="00D12BE9"/>
    <w:rsid w:val="00D13B88"/>
    <w:rsid w:val="00D1524A"/>
    <w:rsid w:val="00D15975"/>
    <w:rsid w:val="00D15FEC"/>
    <w:rsid w:val="00D16038"/>
    <w:rsid w:val="00D16248"/>
    <w:rsid w:val="00D16ED2"/>
    <w:rsid w:val="00D1741F"/>
    <w:rsid w:val="00D17AC9"/>
    <w:rsid w:val="00D21AC7"/>
    <w:rsid w:val="00D2777C"/>
    <w:rsid w:val="00D3035C"/>
    <w:rsid w:val="00D33B45"/>
    <w:rsid w:val="00D36D1B"/>
    <w:rsid w:val="00D37947"/>
    <w:rsid w:val="00D405E8"/>
    <w:rsid w:val="00D40B84"/>
    <w:rsid w:val="00D41C34"/>
    <w:rsid w:val="00D43082"/>
    <w:rsid w:val="00D44B44"/>
    <w:rsid w:val="00D4578B"/>
    <w:rsid w:val="00D50201"/>
    <w:rsid w:val="00D5222C"/>
    <w:rsid w:val="00D52DD0"/>
    <w:rsid w:val="00D538E3"/>
    <w:rsid w:val="00D54613"/>
    <w:rsid w:val="00D56DC6"/>
    <w:rsid w:val="00D573CA"/>
    <w:rsid w:val="00D5760D"/>
    <w:rsid w:val="00D603C5"/>
    <w:rsid w:val="00D6151F"/>
    <w:rsid w:val="00D61580"/>
    <w:rsid w:val="00D628F8"/>
    <w:rsid w:val="00D62B70"/>
    <w:rsid w:val="00D63AD8"/>
    <w:rsid w:val="00D661AD"/>
    <w:rsid w:val="00D6668F"/>
    <w:rsid w:val="00D67E13"/>
    <w:rsid w:val="00D7064C"/>
    <w:rsid w:val="00D7178A"/>
    <w:rsid w:val="00D72D16"/>
    <w:rsid w:val="00D74D37"/>
    <w:rsid w:val="00D75ED0"/>
    <w:rsid w:val="00D77441"/>
    <w:rsid w:val="00D81110"/>
    <w:rsid w:val="00D83573"/>
    <w:rsid w:val="00D83D17"/>
    <w:rsid w:val="00D8657C"/>
    <w:rsid w:val="00D86AAE"/>
    <w:rsid w:val="00D86D41"/>
    <w:rsid w:val="00D86F13"/>
    <w:rsid w:val="00D87870"/>
    <w:rsid w:val="00D954E8"/>
    <w:rsid w:val="00D956EB"/>
    <w:rsid w:val="00D959FA"/>
    <w:rsid w:val="00D96AFD"/>
    <w:rsid w:val="00DA0597"/>
    <w:rsid w:val="00DA4FC7"/>
    <w:rsid w:val="00DA5F41"/>
    <w:rsid w:val="00DA7FAB"/>
    <w:rsid w:val="00DB14EB"/>
    <w:rsid w:val="00DB2DB9"/>
    <w:rsid w:val="00DB2FFD"/>
    <w:rsid w:val="00DB4481"/>
    <w:rsid w:val="00DB52B6"/>
    <w:rsid w:val="00DB5466"/>
    <w:rsid w:val="00DB72AB"/>
    <w:rsid w:val="00DB775D"/>
    <w:rsid w:val="00DC05A1"/>
    <w:rsid w:val="00DC1A40"/>
    <w:rsid w:val="00DC377E"/>
    <w:rsid w:val="00DC4703"/>
    <w:rsid w:val="00DC5F92"/>
    <w:rsid w:val="00DC660D"/>
    <w:rsid w:val="00DC6943"/>
    <w:rsid w:val="00DC7AF0"/>
    <w:rsid w:val="00DD0C87"/>
    <w:rsid w:val="00DD2FA2"/>
    <w:rsid w:val="00DD4515"/>
    <w:rsid w:val="00DD4A8A"/>
    <w:rsid w:val="00DD4BFA"/>
    <w:rsid w:val="00DD4EBE"/>
    <w:rsid w:val="00DD553C"/>
    <w:rsid w:val="00DD6A15"/>
    <w:rsid w:val="00DD6B39"/>
    <w:rsid w:val="00DD6CF6"/>
    <w:rsid w:val="00DD7145"/>
    <w:rsid w:val="00DE29AD"/>
    <w:rsid w:val="00DE3076"/>
    <w:rsid w:val="00DE3EBD"/>
    <w:rsid w:val="00DE4C23"/>
    <w:rsid w:val="00DE4DA8"/>
    <w:rsid w:val="00DE5EC7"/>
    <w:rsid w:val="00DE639D"/>
    <w:rsid w:val="00DE6420"/>
    <w:rsid w:val="00DE7B90"/>
    <w:rsid w:val="00DE7C03"/>
    <w:rsid w:val="00DF0439"/>
    <w:rsid w:val="00DF3736"/>
    <w:rsid w:val="00DF41A4"/>
    <w:rsid w:val="00DF5BC5"/>
    <w:rsid w:val="00DF7299"/>
    <w:rsid w:val="00DF7B32"/>
    <w:rsid w:val="00E000A8"/>
    <w:rsid w:val="00E0316A"/>
    <w:rsid w:val="00E132CC"/>
    <w:rsid w:val="00E1707B"/>
    <w:rsid w:val="00E174B3"/>
    <w:rsid w:val="00E17B0F"/>
    <w:rsid w:val="00E263CA"/>
    <w:rsid w:val="00E2675C"/>
    <w:rsid w:val="00E2798F"/>
    <w:rsid w:val="00E27F92"/>
    <w:rsid w:val="00E31A04"/>
    <w:rsid w:val="00E31C1F"/>
    <w:rsid w:val="00E33AF0"/>
    <w:rsid w:val="00E35B47"/>
    <w:rsid w:val="00E40498"/>
    <w:rsid w:val="00E414E3"/>
    <w:rsid w:val="00E42E59"/>
    <w:rsid w:val="00E43C95"/>
    <w:rsid w:val="00E44806"/>
    <w:rsid w:val="00E449D6"/>
    <w:rsid w:val="00E456DA"/>
    <w:rsid w:val="00E45F33"/>
    <w:rsid w:val="00E50FAE"/>
    <w:rsid w:val="00E54199"/>
    <w:rsid w:val="00E55002"/>
    <w:rsid w:val="00E57CC3"/>
    <w:rsid w:val="00E63C89"/>
    <w:rsid w:val="00E64F01"/>
    <w:rsid w:val="00E65233"/>
    <w:rsid w:val="00E662E7"/>
    <w:rsid w:val="00E66495"/>
    <w:rsid w:val="00E66ADD"/>
    <w:rsid w:val="00E66EED"/>
    <w:rsid w:val="00E70B7A"/>
    <w:rsid w:val="00E727BE"/>
    <w:rsid w:val="00E72B26"/>
    <w:rsid w:val="00E72BD7"/>
    <w:rsid w:val="00E7382C"/>
    <w:rsid w:val="00E744A2"/>
    <w:rsid w:val="00E7458C"/>
    <w:rsid w:val="00E7644E"/>
    <w:rsid w:val="00E77169"/>
    <w:rsid w:val="00E7741F"/>
    <w:rsid w:val="00E80C39"/>
    <w:rsid w:val="00E81B81"/>
    <w:rsid w:val="00E81D54"/>
    <w:rsid w:val="00E84354"/>
    <w:rsid w:val="00E85D82"/>
    <w:rsid w:val="00E86B02"/>
    <w:rsid w:val="00E875DA"/>
    <w:rsid w:val="00E90DC1"/>
    <w:rsid w:val="00E90F97"/>
    <w:rsid w:val="00E92F60"/>
    <w:rsid w:val="00E93353"/>
    <w:rsid w:val="00E93C05"/>
    <w:rsid w:val="00E970FD"/>
    <w:rsid w:val="00EA13C4"/>
    <w:rsid w:val="00EA4F02"/>
    <w:rsid w:val="00EA5F32"/>
    <w:rsid w:val="00EA6867"/>
    <w:rsid w:val="00EA6EB8"/>
    <w:rsid w:val="00EA7AC1"/>
    <w:rsid w:val="00EA7CA1"/>
    <w:rsid w:val="00EB151F"/>
    <w:rsid w:val="00EB3834"/>
    <w:rsid w:val="00EB47AF"/>
    <w:rsid w:val="00EB667C"/>
    <w:rsid w:val="00EB7A52"/>
    <w:rsid w:val="00EC1E9A"/>
    <w:rsid w:val="00EC2323"/>
    <w:rsid w:val="00EC2E7C"/>
    <w:rsid w:val="00EC3F62"/>
    <w:rsid w:val="00EC53CE"/>
    <w:rsid w:val="00EC6E16"/>
    <w:rsid w:val="00EC7FD8"/>
    <w:rsid w:val="00ED0BB4"/>
    <w:rsid w:val="00ED164C"/>
    <w:rsid w:val="00ED1CF3"/>
    <w:rsid w:val="00ED20F5"/>
    <w:rsid w:val="00ED234B"/>
    <w:rsid w:val="00ED2C1C"/>
    <w:rsid w:val="00ED3B5D"/>
    <w:rsid w:val="00ED40A5"/>
    <w:rsid w:val="00ED4F84"/>
    <w:rsid w:val="00ED66A6"/>
    <w:rsid w:val="00EE16DC"/>
    <w:rsid w:val="00EE18FE"/>
    <w:rsid w:val="00EE2034"/>
    <w:rsid w:val="00EE2075"/>
    <w:rsid w:val="00EE40DC"/>
    <w:rsid w:val="00EE524F"/>
    <w:rsid w:val="00EE5434"/>
    <w:rsid w:val="00EE6B6C"/>
    <w:rsid w:val="00EF0D96"/>
    <w:rsid w:val="00EF25B9"/>
    <w:rsid w:val="00EF29E2"/>
    <w:rsid w:val="00EF2C3F"/>
    <w:rsid w:val="00EF5BC2"/>
    <w:rsid w:val="00EF77AE"/>
    <w:rsid w:val="00F0061F"/>
    <w:rsid w:val="00F012BA"/>
    <w:rsid w:val="00F03DEA"/>
    <w:rsid w:val="00F0561D"/>
    <w:rsid w:val="00F068A2"/>
    <w:rsid w:val="00F11A11"/>
    <w:rsid w:val="00F11EDB"/>
    <w:rsid w:val="00F13C59"/>
    <w:rsid w:val="00F163D9"/>
    <w:rsid w:val="00F1700C"/>
    <w:rsid w:val="00F1790B"/>
    <w:rsid w:val="00F17F48"/>
    <w:rsid w:val="00F23282"/>
    <w:rsid w:val="00F23635"/>
    <w:rsid w:val="00F2727C"/>
    <w:rsid w:val="00F32182"/>
    <w:rsid w:val="00F32592"/>
    <w:rsid w:val="00F33E43"/>
    <w:rsid w:val="00F34E42"/>
    <w:rsid w:val="00F36147"/>
    <w:rsid w:val="00F376DA"/>
    <w:rsid w:val="00F409D3"/>
    <w:rsid w:val="00F40FBC"/>
    <w:rsid w:val="00F454BF"/>
    <w:rsid w:val="00F457A5"/>
    <w:rsid w:val="00F462C8"/>
    <w:rsid w:val="00F47B62"/>
    <w:rsid w:val="00F51188"/>
    <w:rsid w:val="00F512C5"/>
    <w:rsid w:val="00F51966"/>
    <w:rsid w:val="00F519C5"/>
    <w:rsid w:val="00F51B4B"/>
    <w:rsid w:val="00F5371D"/>
    <w:rsid w:val="00F53B3A"/>
    <w:rsid w:val="00F544C0"/>
    <w:rsid w:val="00F573C4"/>
    <w:rsid w:val="00F57FE4"/>
    <w:rsid w:val="00F610FA"/>
    <w:rsid w:val="00F616A4"/>
    <w:rsid w:val="00F62695"/>
    <w:rsid w:val="00F63D30"/>
    <w:rsid w:val="00F6426A"/>
    <w:rsid w:val="00F64D81"/>
    <w:rsid w:val="00F6672C"/>
    <w:rsid w:val="00F67BBA"/>
    <w:rsid w:val="00F70A04"/>
    <w:rsid w:val="00F73D97"/>
    <w:rsid w:val="00F758E9"/>
    <w:rsid w:val="00F759E4"/>
    <w:rsid w:val="00F76C41"/>
    <w:rsid w:val="00F77A05"/>
    <w:rsid w:val="00F80C45"/>
    <w:rsid w:val="00F81BFA"/>
    <w:rsid w:val="00F83829"/>
    <w:rsid w:val="00F83F9A"/>
    <w:rsid w:val="00F84B86"/>
    <w:rsid w:val="00F9305A"/>
    <w:rsid w:val="00F939C8"/>
    <w:rsid w:val="00F93D75"/>
    <w:rsid w:val="00F9441B"/>
    <w:rsid w:val="00F94738"/>
    <w:rsid w:val="00F964BC"/>
    <w:rsid w:val="00FA0139"/>
    <w:rsid w:val="00FA032F"/>
    <w:rsid w:val="00FA08A5"/>
    <w:rsid w:val="00FA7F3E"/>
    <w:rsid w:val="00FB0CF4"/>
    <w:rsid w:val="00FB0FDB"/>
    <w:rsid w:val="00FB1E26"/>
    <w:rsid w:val="00FB1FA6"/>
    <w:rsid w:val="00FB2FBD"/>
    <w:rsid w:val="00FB35A1"/>
    <w:rsid w:val="00FB39B7"/>
    <w:rsid w:val="00FB5324"/>
    <w:rsid w:val="00FC07F7"/>
    <w:rsid w:val="00FC24B7"/>
    <w:rsid w:val="00FC2783"/>
    <w:rsid w:val="00FC48B5"/>
    <w:rsid w:val="00FC4C92"/>
    <w:rsid w:val="00FC4E79"/>
    <w:rsid w:val="00FC5A0B"/>
    <w:rsid w:val="00FC6437"/>
    <w:rsid w:val="00FC6D8F"/>
    <w:rsid w:val="00FC7054"/>
    <w:rsid w:val="00FC78D5"/>
    <w:rsid w:val="00FC7DE3"/>
    <w:rsid w:val="00FD2661"/>
    <w:rsid w:val="00FD4914"/>
    <w:rsid w:val="00FD65C6"/>
    <w:rsid w:val="00FE075D"/>
    <w:rsid w:val="00FE3077"/>
    <w:rsid w:val="00FE32C7"/>
    <w:rsid w:val="00FE3631"/>
    <w:rsid w:val="00FE6932"/>
    <w:rsid w:val="00FE7D89"/>
    <w:rsid w:val="00FF000F"/>
    <w:rsid w:val="00FF06BE"/>
    <w:rsid w:val="00FF44D0"/>
    <w:rsid w:val="00FF45A5"/>
    <w:rsid w:val="00FF668D"/>
    <w:rsid w:val="00FF6963"/>
    <w:rsid w:val="00FF76F0"/>
    <w:rsid w:val="00FF7730"/>
    <w:rsid w:val="00FF7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303E14B0"/>
  <w15:docId w15:val="{99821376-DF49-42D8-82E9-7FD99B11B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689A"/>
    <w:rPr>
      <w:rFonts w:ascii="Times New Roman" w:hAnsi="Times New Roman"/>
    </w:rPr>
  </w:style>
  <w:style w:type="paragraph" w:styleId="Heading1">
    <w:name w:val="heading 1"/>
    <w:basedOn w:val="Normal"/>
    <w:next w:val="Normal"/>
    <w:link w:val="Heading1Char"/>
    <w:uiPriority w:val="9"/>
    <w:qFormat/>
    <w:rsid w:val="00E42E59"/>
    <w:pPr>
      <w:keepNext/>
      <w:keepLines/>
      <w:numPr>
        <w:numId w:val="11"/>
      </w:numPr>
      <w:spacing w:before="480" w:after="12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196516"/>
    <w:pPr>
      <w:keepNext/>
      <w:keepLines/>
      <w:numPr>
        <w:ilvl w:val="1"/>
        <w:numId w:val="11"/>
      </w:numPr>
      <w:spacing w:before="200" w:after="120"/>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196516"/>
    <w:pPr>
      <w:keepNext/>
      <w:keepLines/>
      <w:numPr>
        <w:numId w:val="36"/>
      </w:numPr>
      <w:spacing w:before="200" w:after="120"/>
      <w:outlineLvl w:val="2"/>
    </w:pPr>
    <w:rPr>
      <w:rFonts w:ascii="Arial" w:eastAsiaTheme="majorEastAsia" w:hAnsi="Arial" w:cstheme="majorBidi"/>
      <w:b/>
      <w:bCs/>
    </w:rPr>
  </w:style>
  <w:style w:type="paragraph" w:styleId="Heading4">
    <w:name w:val="heading 4"/>
    <w:basedOn w:val="Normal"/>
    <w:next w:val="Normal"/>
    <w:link w:val="Heading4Char"/>
    <w:autoRedefine/>
    <w:uiPriority w:val="9"/>
    <w:unhideWhenUsed/>
    <w:qFormat/>
    <w:rsid w:val="0054777F"/>
    <w:pPr>
      <w:keepNext/>
      <w:keepLines/>
      <w:numPr>
        <w:numId w:val="16"/>
      </w:numPr>
      <w:spacing w:before="200" w:after="120"/>
      <w:outlineLvl w:val="3"/>
    </w:pPr>
    <w:rPr>
      <w:rFonts w:ascii="Arial" w:eastAsiaTheme="majorEastAsia" w:hAnsi="Arial" w:cstheme="majorBidi"/>
      <w:b/>
      <w:bCs/>
      <w:iCs/>
    </w:rPr>
  </w:style>
  <w:style w:type="paragraph" w:styleId="Heading5">
    <w:name w:val="heading 5"/>
    <w:basedOn w:val="Normal"/>
    <w:next w:val="Normal"/>
    <w:link w:val="Heading5Char"/>
    <w:uiPriority w:val="9"/>
    <w:unhideWhenUsed/>
    <w:qFormat/>
    <w:rsid w:val="00FF45A5"/>
    <w:pPr>
      <w:keepNext/>
      <w:keepLines/>
      <w:numPr>
        <w:numId w:val="34"/>
      </w:numPr>
      <w:spacing w:before="200" w:after="0"/>
      <w:outlineLvl w:val="4"/>
    </w:pPr>
    <w:rPr>
      <w:rFonts w:ascii="Arial" w:eastAsiaTheme="majorEastAsia" w:hAnsi="Arial" w:cstheme="majorBidi"/>
      <w:b/>
    </w:rPr>
  </w:style>
  <w:style w:type="paragraph" w:styleId="Heading6">
    <w:name w:val="heading 6"/>
    <w:basedOn w:val="Normal"/>
    <w:next w:val="Normal"/>
    <w:link w:val="Heading6Char"/>
    <w:uiPriority w:val="9"/>
    <w:semiHidden/>
    <w:unhideWhenUsed/>
    <w:qFormat/>
    <w:rsid w:val="005F2069"/>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F2069"/>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F2069"/>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F2069"/>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839BA"/>
    <w:rPr>
      <w:sz w:val="16"/>
      <w:szCs w:val="16"/>
    </w:rPr>
  </w:style>
  <w:style w:type="paragraph" w:styleId="CommentText">
    <w:name w:val="annotation text"/>
    <w:basedOn w:val="Normal"/>
    <w:link w:val="CommentTextChar"/>
    <w:uiPriority w:val="99"/>
    <w:semiHidden/>
    <w:unhideWhenUsed/>
    <w:rsid w:val="003839BA"/>
    <w:pPr>
      <w:spacing w:line="240" w:lineRule="auto"/>
    </w:pPr>
    <w:rPr>
      <w:sz w:val="20"/>
      <w:szCs w:val="20"/>
    </w:rPr>
  </w:style>
  <w:style w:type="character" w:customStyle="1" w:styleId="CommentTextChar">
    <w:name w:val="Comment Text Char"/>
    <w:basedOn w:val="DefaultParagraphFont"/>
    <w:link w:val="CommentText"/>
    <w:uiPriority w:val="99"/>
    <w:semiHidden/>
    <w:rsid w:val="003839BA"/>
    <w:rPr>
      <w:sz w:val="20"/>
      <w:szCs w:val="20"/>
    </w:rPr>
  </w:style>
  <w:style w:type="paragraph" w:styleId="CommentSubject">
    <w:name w:val="annotation subject"/>
    <w:basedOn w:val="CommentText"/>
    <w:next w:val="CommentText"/>
    <w:link w:val="CommentSubjectChar"/>
    <w:uiPriority w:val="99"/>
    <w:semiHidden/>
    <w:unhideWhenUsed/>
    <w:rsid w:val="003839BA"/>
    <w:rPr>
      <w:b/>
      <w:bCs/>
    </w:rPr>
  </w:style>
  <w:style w:type="character" w:customStyle="1" w:styleId="CommentSubjectChar">
    <w:name w:val="Comment Subject Char"/>
    <w:basedOn w:val="CommentTextChar"/>
    <w:link w:val="CommentSubject"/>
    <w:uiPriority w:val="99"/>
    <w:semiHidden/>
    <w:rsid w:val="003839BA"/>
    <w:rPr>
      <w:b/>
      <w:bCs/>
      <w:sz w:val="20"/>
      <w:szCs w:val="20"/>
    </w:rPr>
  </w:style>
  <w:style w:type="paragraph" w:styleId="BalloonText">
    <w:name w:val="Balloon Text"/>
    <w:basedOn w:val="Normal"/>
    <w:link w:val="BalloonTextChar"/>
    <w:uiPriority w:val="99"/>
    <w:semiHidden/>
    <w:unhideWhenUsed/>
    <w:rsid w:val="00383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9BA"/>
    <w:rPr>
      <w:rFonts w:ascii="Tahoma" w:hAnsi="Tahoma" w:cs="Tahoma"/>
      <w:sz w:val="16"/>
      <w:szCs w:val="16"/>
    </w:rPr>
  </w:style>
  <w:style w:type="character" w:customStyle="1" w:styleId="Heading1Char">
    <w:name w:val="Heading 1 Char"/>
    <w:basedOn w:val="DefaultParagraphFont"/>
    <w:link w:val="Heading1"/>
    <w:uiPriority w:val="9"/>
    <w:rsid w:val="00E42E59"/>
    <w:rPr>
      <w:rFonts w:ascii="Arial" w:eastAsiaTheme="majorEastAsia" w:hAnsi="Arial" w:cstheme="majorBidi"/>
      <w:b/>
      <w:bCs/>
      <w:sz w:val="28"/>
      <w:szCs w:val="28"/>
    </w:rPr>
  </w:style>
  <w:style w:type="paragraph" w:styleId="ListParagraph">
    <w:name w:val="List Paragraph"/>
    <w:basedOn w:val="Normal"/>
    <w:uiPriority w:val="34"/>
    <w:qFormat/>
    <w:rsid w:val="00446FF5"/>
    <w:pPr>
      <w:ind w:left="720"/>
      <w:contextualSpacing/>
    </w:pPr>
  </w:style>
  <w:style w:type="character" w:customStyle="1" w:styleId="Heading2Char">
    <w:name w:val="Heading 2 Char"/>
    <w:basedOn w:val="DefaultParagraphFont"/>
    <w:link w:val="Heading2"/>
    <w:uiPriority w:val="9"/>
    <w:rsid w:val="00196516"/>
    <w:rPr>
      <w:rFonts w:ascii="Arial" w:eastAsiaTheme="majorEastAsia" w:hAnsi="Arial" w:cstheme="majorBidi"/>
      <w:b/>
      <w:bCs/>
      <w:szCs w:val="26"/>
    </w:rPr>
  </w:style>
  <w:style w:type="paragraph" w:styleId="NoSpacing">
    <w:name w:val="No Spacing"/>
    <w:basedOn w:val="Heading3"/>
    <w:link w:val="NoSpacingChar"/>
    <w:uiPriority w:val="1"/>
    <w:qFormat/>
    <w:rsid w:val="00A14EBF"/>
    <w:pPr>
      <w:keepNext w:val="0"/>
      <w:keepLines w:val="0"/>
      <w:spacing w:before="0" w:after="200"/>
    </w:pPr>
    <w:rPr>
      <w:rFonts w:ascii="Times New Roman" w:eastAsiaTheme="minorHAnsi" w:hAnsi="Times New Roman" w:cs="Times New Roman"/>
      <w:bCs w:val="0"/>
    </w:rPr>
  </w:style>
  <w:style w:type="character" w:customStyle="1" w:styleId="Heading3Char">
    <w:name w:val="Heading 3 Char"/>
    <w:basedOn w:val="DefaultParagraphFont"/>
    <w:link w:val="Heading3"/>
    <w:uiPriority w:val="9"/>
    <w:rsid w:val="00196516"/>
    <w:rPr>
      <w:rFonts w:ascii="Arial" w:eastAsiaTheme="majorEastAsia" w:hAnsi="Arial" w:cstheme="majorBidi"/>
      <w:b/>
      <w:bCs/>
    </w:rPr>
  </w:style>
  <w:style w:type="table" w:styleId="TableGrid">
    <w:name w:val="Table Grid"/>
    <w:basedOn w:val="TableNormal"/>
    <w:uiPriority w:val="59"/>
    <w:rsid w:val="00E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TableofFigures"/>
    <w:next w:val="Normal"/>
    <w:uiPriority w:val="35"/>
    <w:unhideWhenUsed/>
    <w:qFormat/>
    <w:rsid w:val="00CA5295"/>
    <w:pPr>
      <w:keepNext/>
      <w:spacing w:line="240" w:lineRule="auto"/>
    </w:pPr>
    <w:rPr>
      <w:rFonts w:ascii="Arial" w:hAnsi="Arial"/>
      <w:b/>
      <w:iCs/>
      <w:color w:val="0070C0"/>
      <w:szCs w:val="18"/>
    </w:rPr>
  </w:style>
  <w:style w:type="paragraph" w:customStyle="1" w:styleId="Default">
    <w:name w:val="Default"/>
    <w:rsid w:val="007C64F9"/>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196516"/>
    <w:pPr>
      <w:pBdr>
        <w:bottom w:val="single" w:sz="8" w:space="4" w:color="4F81BD" w:themeColor="accent1"/>
      </w:pBdr>
      <w:spacing w:after="300" w:line="240" w:lineRule="auto"/>
      <w:contextualSpacing/>
    </w:pPr>
    <w:rPr>
      <w:rFonts w:ascii="Arial" w:eastAsiaTheme="majorEastAsia" w:hAnsi="Arial" w:cstheme="majorBidi"/>
      <w:b/>
      <w:spacing w:val="5"/>
      <w:kern w:val="28"/>
      <w:sz w:val="32"/>
      <w:szCs w:val="52"/>
    </w:rPr>
  </w:style>
  <w:style w:type="character" w:customStyle="1" w:styleId="TitleChar">
    <w:name w:val="Title Char"/>
    <w:basedOn w:val="DefaultParagraphFont"/>
    <w:link w:val="Title"/>
    <w:uiPriority w:val="10"/>
    <w:rsid w:val="00196516"/>
    <w:rPr>
      <w:rFonts w:ascii="Arial" w:eastAsiaTheme="majorEastAsia" w:hAnsi="Arial" w:cstheme="majorBidi"/>
      <w:b/>
      <w:spacing w:val="5"/>
      <w:kern w:val="28"/>
      <w:sz w:val="32"/>
      <w:szCs w:val="52"/>
    </w:rPr>
  </w:style>
  <w:style w:type="character" w:customStyle="1" w:styleId="Heading4Char">
    <w:name w:val="Heading 4 Char"/>
    <w:basedOn w:val="DefaultParagraphFont"/>
    <w:link w:val="Heading4"/>
    <w:uiPriority w:val="9"/>
    <w:rsid w:val="0054777F"/>
    <w:rPr>
      <w:rFonts w:ascii="Arial" w:eastAsiaTheme="majorEastAsia" w:hAnsi="Arial" w:cstheme="majorBidi"/>
      <w:b/>
      <w:bCs/>
      <w:iCs/>
    </w:rPr>
  </w:style>
  <w:style w:type="character" w:customStyle="1" w:styleId="Heading5Char">
    <w:name w:val="Heading 5 Char"/>
    <w:basedOn w:val="DefaultParagraphFont"/>
    <w:link w:val="Heading5"/>
    <w:uiPriority w:val="9"/>
    <w:rsid w:val="00FF45A5"/>
    <w:rPr>
      <w:rFonts w:ascii="Arial" w:eastAsiaTheme="majorEastAsia" w:hAnsi="Arial" w:cstheme="majorBidi"/>
      <w:b/>
    </w:rPr>
  </w:style>
  <w:style w:type="paragraph" w:styleId="Header">
    <w:name w:val="header"/>
    <w:basedOn w:val="Normal"/>
    <w:link w:val="HeaderChar"/>
    <w:uiPriority w:val="99"/>
    <w:unhideWhenUsed/>
    <w:rsid w:val="00FF0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6BE"/>
  </w:style>
  <w:style w:type="paragraph" w:styleId="Footer">
    <w:name w:val="footer"/>
    <w:basedOn w:val="Normal"/>
    <w:link w:val="FooterChar"/>
    <w:uiPriority w:val="99"/>
    <w:unhideWhenUsed/>
    <w:rsid w:val="00FF0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6BE"/>
  </w:style>
  <w:style w:type="character" w:customStyle="1" w:styleId="Heading6Char">
    <w:name w:val="Heading 6 Char"/>
    <w:basedOn w:val="DefaultParagraphFont"/>
    <w:link w:val="Heading6"/>
    <w:uiPriority w:val="9"/>
    <w:semiHidden/>
    <w:rsid w:val="005F206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F206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F206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F2069"/>
    <w:rPr>
      <w:rFonts w:asciiTheme="majorHAnsi" w:eastAsiaTheme="majorEastAsia" w:hAnsiTheme="majorHAnsi" w:cstheme="majorBidi"/>
      <w:i/>
      <w:iCs/>
      <w:color w:val="404040" w:themeColor="text1" w:themeTint="BF"/>
      <w:sz w:val="20"/>
      <w:szCs w:val="20"/>
    </w:rPr>
  </w:style>
  <w:style w:type="table" w:customStyle="1" w:styleId="TableGrid1">
    <w:name w:val="Table Grid1"/>
    <w:basedOn w:val="TableNormal"/>
    <w:next w:val="TableGrid"/>
    <w:uiPriority w:val="39"/>
    <w:rsid w:val="003321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0535E"/>
    <w:pPr>
      <w:numPr>
        <w:numId w:val="0"/>
      </w:numPr>
      <w:spacing w:after="0"/>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03670B"/>
    <w:pPr>
      <w:tabs>
        <w:tab w:val="right" w:leader="dot" w:pos="9350"/>
      </w:tabs>
      <w:spacing w:after="100"/>
    </w:pPr>
  </w:style>
  <w:style w:type="paragraph" w:styleId="TOC2">
    <w:name w:val="toc 2"/>
    <w:basedOn w:val="Normal"/>
    <w:next w:val="Normal"/>
    <w:autoRedefine/>
    <w:uiPriority w:val="39"/>
    <w:unhideWhenUsed/>
    <w:rsid w:val="006F6930"/>
    <w:pPr>
      <w:tabs>
        <w:tab w:val="right" w:leader="dot" w:pos="9350"/>
      </w:tabs>
      <w:spacing w:after="100"/>
      <w:ind w:left="220"/>
    </w:pPr>
    <w:rPr>
      <w:rFonts w:ascii="Arial" w:eastAsiaTheme="majorEastAsia" w:hAnsi="Arial" w:cstheme="majorBidi"/>
      <w:b/>
      <w:bCs/>
      <w:noProof/>
    </w:rPr>
  </w:style>
  <w:style w:type="paragraph" w:styleId="TOC3">
    <w:name w:val="toc 3"/>
    <w:basedOn w:val="Normal"/>
    <w:next w:val="Normal"/>
    <w:autoRedefine/>
    <w:uiPriority w:val="39"/>
    <w:unhideWhenUsed/>
    <w:rsid w:val="00A0535E"/>
    <w:pPr>
      <w:spacing w:after="100"/>
      <w:ind w:left="440"/>
    </w:pPr>
  </w:style>
  <w:style w:type="character" w:styleId="Hyperlink">
    <w:name w:val="Hyperlink"/>
    <w:basedOn w:val="DefaultParagraphFont"/>
    <w:uiPriority w:val="99"/>
    <w:unhideWhenUsed/>
    <w:rsid w:val="00A0535E"/>
    <w:rPr>
      <w:color w:val="0000FF" w:themeColor="hyperlink"/>
      <w:u w:val="single"/>
    </w:rPr>
  </w:style>
  <w:style w:type="character" w:styleId="BookTitle">
    <w:name w:val="Book Title"/>
    <w:basedOn w:val="DefaultParagraphFont"/>
    <w:uiPriority w:val="33"/>
    <w:qFormat/>
    <w:rsid w:val="0010518A"/>
    <w:rPr>
      <w:b/>
      <w:bCs/>
      <w:smallCaps/>
      <w:spacing w:val="5"/>
    </w:rPr>
  </w:style>
  <w:style w:type="character" w:customStyle="1" w:styleId="NoSpacingChar">
    <w:name w:val="No Spacing Char"/>
    <w:basedOn w:val="DefaultParagraphFont"/>
    <w:link w:val="NoSpacing"/>
    <w:uiPriority w:val="1"/>
    <w:rsid w:val="00C83979"/>
    <w:rPr>
      <w:rFonts w:ascii="Times New Roman" w:hAnsi="Times New Roman" w:cs="Times New Roman"/>
      <w:b/>
    </w:rPr>
  </w:style>
  <w:style w:type="paragraph" w:styleId="TOC4">
    <w:name w:val="toc 4"/>
    <w:basedOn w:val="Normal"/>
    <w:next w:val="Normal"/>
    <w:autoRedefine/>
    <w:uiPriority w:val="39"/>
    <w:unhideWhenUsed/>
    <w:rsid w:val="00FB0FDB"/>
    <w:pPr>
      <w:spacing w:after="100"/>
      <w:ind w:left="660"/>
    </w:pPr>
  </w:style>
  <w:style w:type="paragraph" w:styleId="TableofFigures">
    <w:name w:val="table of figures"/>
    <w:basedOn w:val="Normal"/>
    <w:next w:val="Normal"/>
    <w:uiPriority w:val="99"/>
    <w:unhideWhenUsed/>
    <w:rsid w:val="00F81BFA"/>
    <w:pPr>
      <w:spacing w:after="0"/>
    </w:pPr>
  </w:style>
  <w:style w:type="paragraph" w:styleId="FootnoteText">
    <w:name w:val="footnote text"/>
    <w:basedOn w:val="Normal"/>
    <w:link w:val="FootnoteTextChar"/>
    <w:uiPriority w:val="99"/>
    <w:unhideWhenUsed/>
    <w:rsid w:val="00F33E43"/>
    <w:pPr>
      <w:spacing w:after="0" w:line="240" w:lineRule="auto"/>
    </w:pPr>
    <w:rPr>
      <w:sz w:val="20"/>
      <w:szCs w:val="20"/>
    </w:rPr>
  </w:style>
  <w:style w:type="character" w:customStyle="1" w:styleId="FootnoteTextChar">
    <w:name w:val="Footnote Text Char"/>
    <w:basedOn w:val="DefaultParagraphFont"/>
    <w:link w:val="FootnoteText"/>
    <w:uiPriority w:val="99"/>
    <w:rsid w:val="00F33E43"/>
    <w:rPr>
      <w:rFonts w:ascii="Times New Roman" w:hAnsi="Times New Roman"/>
      <w:sz w:val="20"/>
      <w:szCs w:val="20"/>
    </w:rPr>
  </w:style>
  <w:style w:type="character" w:styleId="FootnoteReference">
    <w:name w:val="footnote reference"/>
    <w:basedOn w:val="DefaultParagraphFont"/>
    <w:uiPriority w:val="99"/>
    <w:unhideWhenUsed/>
    <w:rsid w:val="00F33E43"/>
    <w:rPr>
      <w:vertAlign w:val="superscript"/>
    </w:rPr>
  </w:style>
  <w:style w:type="paragraph" w:styleId="Revision">
    <w:name w:val="Revision"/>
    <w:hidden/>
    <w:uiPriority w:val="99"/>
    <w:semiHidden/>
    <w:rsid w:val="00C77E79"/>
    <w:pPr>
      <w:spacing w:after="0" w:line="240" w:lineRule="auto"/>
    </w:pPr>
    <w:rPr>
      <w:rFonts w:ascii="Times New Roman" w:hAnsi="Times New Roman"/>
    </w:rPr>
  </w:style>
  <w:style w:type="character" w:customStyle="1" w:styleId="il">
    <w:name w:val="il"/>
    <w:basedOn w:val="DefaultParagraphFont"/>
    <w:rsid w:val="00270847"/>
  </w:style>
  <w:style w:type="character" w:styleId="UnresolvedMention">
    <w:name w:val="Unresolved Mention"/>
    <w:basedOn w:val="DefaultParagraphFont"/>
    <w:uiPriority w:val="99"/>
    <w:semiHidden/>
    <w:unhideWhenUsed/>
    <w:rsid w:val="009F6D23"/>
    <w:rPr>
      <w:color w:val="605E5C"/>
      <w:shd w:val="clear" w:color="auto" w:fill="E1DFDD"/>
    </w:rPr>
  </w:style>
  <w:style w:type="character" w:styleId="FollowedHyperlink">
    <w:name w:val="FollowedHyperlink"/>
    <w:basedOn w:val="DefaultParagraphFont"/>
    <w:uiPriority w:val="99"/>
    <w:semiHidden/>
    <w:unhideWhenUsed/>
    <w:rsid w:val="009F6D23"/>
    <w:rPr>
      <w:color w:val="800080" w:themeColor="followedHyperlink"/>
      <w:u w:val="single"/>
    </w:rPr>
  </w:style>
  <w:style w:type="paragraph" w:styleId="NormalWeb">
    <w:name w:val="Normal (Web)"/>
    <w:basedOn w:val="Normal"/>
    <w:uiPriority w:val="99"/>
    <w:unhideWhenUsed/>
    <w:rsid w:val="006C4ED4"/>
    <w:pPr>
      <w:spacing w:before="100" w:beforeAutospacing="1" w:after="100" w:afterAutospacing="1" w:line="240" w:lineRule="auto"/>
    </w:pPr>
    <w:rPr>
      <w:rFonts w:eastAsiaTheme="minorEastAsia" w:cs="Times New Roman"/>
      <w:sz w:val="24"/>
      <w:szCs w:val="24"/>
    </w:rPr>
  </w:style>
  <w:style w:type="character" w:styleId="LineNumber">
    <w:name w:val="line number"/>
    <w:basedOn w:val="DefaultParagraphFont"/>
    <w:uiPriority w:val="99"/>
    <w:semiHidden/>
    <w:unhideWhenUsed/>
    <w:rsid w:val="00620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61581">
      <w:bodyDiv w:val="1"/>
      <w:marLeft w:val="0"/>
      <w:marRight w:val="0"/>
      <w:marTop w:val="0"/>
      <w:marBottom w:val="0"/>
      <w:divBdr>
        <w:top w:val="none" w:sz="0" w:space="0" w:color="auto"/>
        <w:left w:val="none" w:sz="0" w:space="0" w:color="auto"/>
        <w:bottom w:val="none" w:sz="0" w:space="0" w:color="auto"/>
        <w:right w:val="none" w:sz="0" w:space="0" w:color="auto"/>
      </w:divBdr>
    </w:div>
    <w:div w:id="130439116">
      <w:bodyDiv w:val="1"/>
      <w:marLeft w:val="0"/>
      <w:marRight w:val="0"/>
      <w:marTop w:val="0"/>
      <w:marBottom w:val="0"/>
      <w:divBdr>
        <w:top w:val="none" w:sz="0" w:space="0" w:color="auto"/>
        <w:left w:val="none" w:sz="0" w:space="0" w:color="auto"/>
        <w:bottom w:val="none" w:sz="0" w:space="0" w:color="auto"/>
        <w:right w:val="none" w:sz="0" w:space="0" w:color="auto"/>
      </w:divBdr>
    </w:div>
    <w:div w:id="383018654">
      <w:bodyDiv w:val="1"/>
      <w:marLeft w:val="0"/>
      <w:marRight w:val="0"/>
      <w:marTop w:val="0"/>
      <w:marBottom w:val="0"/>
      <w:divBdr>
        <w:top w:val="none" w:sz="0" w:space="0" w:color="auto"/>
        <w:left w:val="none" w:sz="0" w:space="0" w:color="auto"/>
        <w:bottom w:val="none" w:sz="0" w:space="0" w:color="auto"/>
        <w:right w:val="none" w:sz="0" w:space="0" w:color="auto"/>
      </w:divBdr>
    </w:div>
    <w:div w:id="394859959">
      <w:bodyDiv w:val="1"/>
      <w:marLeft w:val="0"/>
      <w:marRight w:val="0"/>
      <w:marTop w:val="0"/>
      <w:marBottom w:val="0"/>
      <w:divBdr>
        <w:top w:val="none" w:sz="0" w:space="0" w:color="auto"/>
        <w:left w:val="none" w:sz="0" w:space="0" w:color="auto"/>
        <w:bottom w:val="none" w:sz="0" w:space="0" w:color="auto"/>
        <w:right w:val="none" w:sz="0" w:space="0" w:color="auto"/>
      </w:divBdr>
    </w:div>
    <w:div w:id="520094868">
      <w:bodyDiv w:val="1"/>
      <w:marLeft w:val="0"/>
      <w:marRight w:val="0"/>
      <w:marTop w:val="0"/>
      <w:marBottom w:val="0"/>
      <w:divBdr>
        <w:top w:val="none" w:sz="0" w:space="0" w:color="auto"/>
        <w:left w:val="none" w:sz="0" w:space="0" w:color="auto"/>
        <w:bottom w:val="none" w:sz="0" w:space="0" w:color="auto"/>
        <w:right w:val="none" w:sz="0" w:space="0" w:color="auto"/>
      </w:divBdr>
    </w:div>
    <w:div w:id="710762924">
      <w:bodyDiv w:val="1"/>
      <w:marLeft w:val="0"/>
      <w:marRight w:val="0"/>
      <w:marTop w:val="0"/>
      <w:marBottom w:val="0"/>
      <w:divBdr>
        <w:top w:val="none" w:sz="0" w:space="0" w:color="auto"/>
        <w:left w:val="none" w:sz="0" w:space="0" w:color="auto"/>
        <w:bottom w:val="none" w:sz="0" w:space="0" w:color="auto"/>
        <w:right w:val="none" w:sz="0" w:space="0" w:color="auto"/>
      </w:divBdr>
    </w:div>
    <w:div w:id="775557662">
      <w:bodyDiv w:val="1"/>
      <w:marLeft w:val="0"/>
      <w:marRight w:val="0"/>
      <w:marTop w:val="0"/>
      <w:marBottom w:val="0"/>
      <w:divBdr>
        <w:top w:val="none" w:sz="0" w:space="0" w:color="auto"/>
        <w:left w:val="none" w:sz="0" w:space="0" w:color="auto"/>
        <w:bottom w:val="none" w:sz="0" w:space="0" w:color="auto"/>
        <w:right w:val="none" w:sz="0" w:space="0" w:color="auto"/>
      </w:divBdr>
    </w:div>
    <w:div w:id="792134727">
      <w:bodyDiv w:val="1"/>
      <w:marLeft w:val="0"/>
      <w:marRight w:val="0"/>
      <w:marTop w:val="0"/>
      <w:marBottom w:val="0"/>
      <w:divBdr>
        <w:top w:val="none" w:sz="0" w:space="0" w:color="auto"/>
        <w:left w:val="none" w:sz="0" w:space="0" w:color="auto"/>
        <w:bottom w:val="none" w:sz="0" w:space="0" w:color="auto"/>
        <w:right w:val="none" w:sz="0" w:space="0" w:color="auto"/>
      </w:divBdr>
    </w:div>
    <w:div w:id="1135099769">
      <w:bodyDiv w:val="1"/>
      <w:marLeft w:val="0"/>
      <w:marRight w:val="0"/>
      <w:marTop w:val="0"/>
      <w:marBottom w:val="0"/>
      <w:divBdr>
        <w:top w:val="none" w:sz="0" w:space="0" w:color="auto"/>
        <w:left w:val="none" w:sz="0" w:space="0" w:color="auto"/>
        <w:bottom w:val="none" w:sz="0" w:space="0" w:color="auto"/>
        <w:right w:val="none" w:sz="0" w:space="0" w:color="auto"/>
      </w:divBdr>
    </w:div>
    <w:div w:id="1370371430">
      <w:bodyDiv w:val="1"/>
      <w:marLeft w:val="0"/>
      <w:marRight w:val="0"/>
      <w:marTop w:val="0"/>
      <w:marBottom w:val="0"/>
      <w:divBdr>
        <w:top w:val="none" w:sz="0" w:space="0" w:color="auto"/>
        <w:left w:val="none" w:sz="0" w:space="0" w:color="auto"/>
        <w:bottom w:val="none" w:sz="0" w:space="0" w:color="auto"/>
        <w:right w:val="none" w:sz="0" w:space="0" w:color="auto"/>
      </w:divBdr>
    </w:div>
    <w:div w:id="1426463219">
      <w:bodyDiv w:val="1"/>
      <w:marLeft w:val="0"/>
      <w:marRight w:val="0"/>
      <w:marTop w:val="0"/>
      <w:marBottom w:val="0"/>
      <w:divBdr>
        <w:top w:val="none" w:sz="0" w:space="0" w:color="auto"/>
        <w:left w:val="none" w:sz="0" w:space="0" w:color="auto"/>
        <w:bottom w:val="none" w:sz="0" w:space="0" w:color="auto"/>
        <w:right w:val="none" w:sz="0" w:space="0" w:color="auto"/>
      </w:divBdr>
    </w:div>
    <w:div w:id="1744330730">
      <w:bodyDiv w:val="1"/>
      <w:marLeft w:val="0"/>
      <w:marRight w:val="0"/>
      <w:marTop w:val="0"/>
      <w:marBottom w:val="0"/>
      <w:divBdr>
        <w:top w:val="none" w:sz="0" w:space="0" w:color="auto"/>
        <w:left w:val="none" w:sz="0" w:space="0" w:color="auto"/>
        <w:bottom w:val="none" w:sz="0" w:space="0" w:color="auto"/>
        <w:right w:val="none" w:sz="0" w:space="0" w:color="auto"/>
      </w:divBdr>
    </w:div>
    <w:div w:id="1933009926">
      <w:bodyDiv w:val="1"/>
      <w:marLeft w:val="0"/>
      <w:marRight w:val="0"/>
      <w:marTop w:val="0"/>
      <w:marBottom w:val="0"/>
      <w:divBdr>
        <w:top w:val="none" w:sz="0" w:space="0" w:color="auto"/>
        <w:left w:val="none" w:sz="0" w:space="0" w:color="auto"/>
        <w:bottom w:val="none" w:sz="0" w:space="0" w:color="auto"/>
        <w:right w:val="none" w:sz="0" w:space="0" w:color="auto"/>
      </w:divBdr>
    </w:div>
    <w:div w:id="2074959459">
      <w:bodyDiv w:val="1"/>
      <w:marLeft w:val="0"/>
      <w:marRight w:val="0"/>
      <w:marTop w:val="0"/>
      <w:marBottom w:val="0"/>
      <w:divBdr>
        <w:top w:val="none" w:sz="0" w:space="0" w:color="auto"/>
        <w:left w:val="none" w:sz="0" w:space="0" w:color="auto"/>
        <w:bottom w:val="none" w:sz="0" w:space="0" w:color="auto"/>
        <w:right w:val="none" w:sz="0" w:space="0" w:color="auto"/>
      </w:divBdr>
    </w:div>
    <w:div w:id="209708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chart" Target="charts/chart7.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2.xml"/><Relationship Id="rId34" Type="http://schemas.openxmlformats.org/officeDocument/2006/relationships/chart" Target="charts/chart1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chart" Target="charts/chart6.xml"/><Relationship Id="rId33" Type="http://schemas.openxmlformats.org/officeDocument/2006/relationships/chart" Target="charts/chart1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image" Target="media/image9.png"/><Relationship Id="rId37"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chart" Target="charts/chart1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5.xml"/></Relationships>
</file>

<file path=word/_rels/footnotes.xml.rels><?xml version="1.0" encoding="UTF-8" standalone="yes"?>
<Relationships xmlns="http://schemas.openxmlformats.org/package/2006/relationships"><Relationship Id="rId8" Type="http://schemas.openxmlformats.org/officeDocument/2006/relationships/hyperlink" Target="https://documents.deq.utah.gov/air-quality/planning/technical-analysis/research/model-improvements/3-wintertime-episodes/DAQ-2017-014342.pdf" TargetMode="External"/><Relationship Id="rId3" Type="http://schemas.openxmlformats.org/officeDocument/2006/relationships/hyperlink" Target="https://www.epa.gov/chief" TargetMode="External"/><Relationship Id="rId7" Type="http://schemas.openxmlformats.org/officeDocument/2006/relationships/hyperlink" Target="https://documents.deq.utah.gov/air-quality/planning/technical-analysis/research/model-improvements/3-wintertime-episodes/DAQ-2017-014342.pdf" TargetMode="External"/><Relationship Id="rId2" Type="http://schemas.openxmlformats.org/officeDocument/2006/relationships/hyperlink" Target="https://www.epa.gov/air-emissions-modeling/2011-version-6-air-emissions-modeling-platforms" TargetMode="External"/><Relationship Id="rId1" Type="http://schemas.openxmlformats.org/officeDocument/2006/relationships/hyperlink" Target="https://www.cmascenter.org/smoke/" TargetMode="External"/><Relationship Id="rId6" Type="http://schemas.openxmlformats.org/officeDocument/2006/relationships/hyperlink" Target="https://documents.deq.utah.gov/air-quality/planning/technical-analysis/research/model-improvements/3-wintertime-episodes/DAQ-2017-014342.pdf%20" TargetMode="External"/><Relationship Id="rId11" Type="http://schemas.openxmlformats.org/officeDocument/2006/relationships/hyperlink" Target="https://www.epa.gov/scram/photochemical-modeling-tools" TargetMode="External"/><Relationship Id="rId5" Type="http://schemas.openxmlformats.org/officeDocument/2006/relationships/hyperlink" Target="https://www.mmm.ucar.edu/weather-research-and-forecasting-model" TargetMode="External"/><Relationship Id="rId10" Type="http://schemas.openxmlformats.org/officeDocument/2006/relationships/hyperlink" Target="https://documents.deq.utah.gov/air-quality/planning/technical-analysis/research/model-improvements/3-wintertime-episodes/DAQ-2017-014342.pdf" TargetMode="External"/><Relationship Id="rId4" Type="http://schemas.openxmlformats.org/officeDocument/2006/relationships/hyperlink" Target="https://www.mmm.ucar.edu/weather-research-and-forecasting-model" TargetMode="External"/><Relationship Id="rId9" Type="http://schemas.openxmlformats.org/officeDocument/2006/relationships/hyperlink" Target="https://documents.deq.utah.gov/air-quality/planning/technical-analysis/research/model-improvements/3-wintertime-episodes/DAQ-2017-014342.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daher\Documents\Maintenance%20Plans\Model%20Performance%20Evaluation\MPE_SLProv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localhost\\Users\ndaher\Downloads\MPE_SLProvo-5.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localhost\\Users\ndaher\Downloads\dec2013_15nov-2.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localhost\\Users\ndaher\Downloads\feb2016NH3Inj3-3.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5.xml"/><Relationship Id="rId4" Type="http://schemas.openxmlformats.org/officeDocument/2006/relationships/oleObject" Target="file:///C:\Users\ndaher\Downloads\MPE_SLProvo%20(3).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6.xml"/><Relationship Id="rId4" Type="http://schemas.openxmlformats.org/officeDocument/2006/relationships/oleObject" Target="file:///C:\Users\ndaher\Downloads\MPE_SLProvo%20(3).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ndaher\Downloads\MPE_SLProvo%20(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ndaher\Downloads\MPE_SLProvo%20(3).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daher\Downloads\MPE_SLProvo%20(3).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ndaher\Downloads\dec2013_15nov.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ndaher\Downloads\dec2013_15nov.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daher\Downloads\dec2013_15nov.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daher\Downloads\feb2016NH3Inj3.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daher\Downloads\feb2016NH3Inj3.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ndaher\Downloads\feb2016NH3Inj3.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Hawthorne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MPE_SLProvo!$BD$52</c:f>
              <c:strCache>
                <c:ptCount val="1"/>
                <c:pt idx="0">
                  <c:v>Measured </c:v>
                </c:pt>
              </c:strCache>
            </c:strRef>
          </c:tx>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multiLvlStrRef>
              <c:f>MPE_SLProvo!$BB$53:$BC$62</c:f>
              <c:multiLvlStrCache>
                <c:ptCount val="10"/>
                <c:lvl>
                  <c:pt idx="0">
                    <c:v>1</c:v>
                  </c:pt>
                  <c:pt idx="1">
                    <c:v>2</c:v>
                  </c:pt>
                  <c:pt idx="2">
                    <c:v>3</c:v>
                  </c:pt>
                  <c:pt idx="3">
                    <c:v>4</c:v>
                  </c:pt>
                  <c:pt idx="4">
                    <c:v>5</c:v>
                  </c:pt>
                  <c:pt idx="5">
                    <c:v>6</c:v>
                  </c:pt>
                  <c:pt idx="6">
                    <c:v>7</c:v>
                  </c:pt>
                  <c:pt idx="7">
                    <c:v>8</c:v>
                  </c:pt>
                  <c:pt idx="8">
                    <c:v>9</c:v>
                  </c:pt>
                  <c:pt idx="9">
                    <c:v>10</c:v>
                  </c:pt>
                </c:lvl>
                <c:lvl>
                  <c:pt idx="0">
                    <c:v>Jan. 2011</c:v>
                  </c:pt>
                </c:lvl>
              </c:multiLvlStrCache>
            </c:multiLvlStrRef>
          </c:cat>
          <c:val>
            <c:numRef>
              <c:f>MPE_SLProvo!$BD$53:$BD$62</c:f>
              <c:numCache>
                <c:formatCode>General</c:formatCode>
                <c:ptCount val="10"/>
                <c:pt idx="0">
                  <c:v>15.2</c:v>
                </c:pt>
                <c:pt idx="1">
                  <c:v>18.3</c:v>
                </c:pt>
                <c:pt idx="2">
                  <c:v>32.1</c:v>
                </c:pt>
                <c:pt idx="3">
                  <c:v>50.8</c:v>
                </c:pt>
                <c:pt idx="4">
                  <c:v>49.1</c:v>
                </c:pt>
                <c:pt idx="5">
                  <c:v>56</c:v>
                </c:pt>
                <c:pt idx="6">
                  <c:v>65.400000000000006</c:v>
                </c:pt>
                <c:pt idx="7">
                  <c:v>68.099999999999994</c:v>
                </c:pt>
                <c:pt idx="8">
                  <c:v>25.9</c:v>
                </c:pt>
                <c:pt idx="9">
                  <c:v>14.2</c:v>
                </c:pt>
              </c:numCache>
            </c:numRef>
          </c:val>
          <c:smooth val="0"/>
          <c:extLst>
            <c:ext xmlns:c16="http://schemas.microsoft.com/office/drawing/2014/chart" uri="{C3380CC4-5D6E-409C-BE32-E72D297353CC}">
              <c16:uniqueId val="{00000000-AA23-4E52-AEBA-392B617AAA4C}"/>
            </c:ext>
          </c:extLst>
        </c:ser>
        <c:ser>
          <c:idx val="1"/>
          <c:order val="1"/>
          <c:tx>
            <c:v>Modeled</c:v>
          </c:tx>
          <c:spPr>
            <a:ln w="28575" cap="rnd">
              <a:solidFill>
                <a:sysClr val="windowText" lastClr="000000"/>
              </a:solidFill>
              <a:prstDash val="dash"/>
              <a:round/>
            </a:ln>
            <a:effectLst/>
          </c:spPr>
          <c:marker>
            <c:symbol val="circle"/>
            <c:size val="5"/>
            <c:spPr>
              <a:solidFill>
                <a:schemeClr val="tx1"/>
              </a:solidFill>
              <a:ln w="9525">
                <a:solidFill>
                  <a:sysClr val="windowText" lastClr="000000"/>
                </a:solidFill>
                <a:prstDash val="dash"/>
              </a:ln>
              <a:effectLst/>
            </c:spPr>
          </c:marker>
          <c:cat>
            <c:multiLvlStrRef>
              <c:f>MPE_SLProvo!$BB$53:$BC$62</c:f>
              <c:multiLvlStrCache>
                <c:ptCount val="10"/>
                <c:lvl>
                  <c:pt idx="0">
                    <c:v>1</c:v>
                  </c:pt>
                  <c:pt idx="1">
                    <c:v>2</c:v>
                  </c:pt>
                  <c:pt idx="2">
                    <c:v>3</c:v>
                  </c:pt>
                  <c:pt idx="3">
                    <c:v>4</c:v>
                  </c:pt>
                  <c:pt idx="4">
                    <c:v>5</c:v>
                  </c:pt>
                  <c:pt idx="5">
                    <c:v>6</c:v>
                  </c:pt>
                  <c:pt idx="6">
                    <c:v>7</c:v>
                  </c:pt>
                  <c:pt idx="7">
                    <c:v>8</c:v>
                  </c:pt>
                  <c:pt idx="8">
                    <c:v>9</c:v>
                  </c:pt>
                  <c:pt idx="9">
                    <c:v>10</c:v>
                  </c:pt>
                </c:lvl>
                <c:lvl>
                  <c:pt idx="0">
                    <c:v>Jan. 2011</c:v>
                  </c:pt>
                </c:lvl>
              </c:multiLvlStrCache>
            </c:multiLvlStrRef>
          </c:cat>
          <c:val>
            <c:numRef>
              <c:f>MPE_SLProvo!$BE$53:$BE$62</c:f>
              <c:numCache>
                <c:formatCode>0.00</c:formatCode>
                <c:ptCount val="10"/>
                <c:pt idx="0">
                  <c:v>14.186444702049585</c:v>
                </c:pt>
                <c:pt idx="1">
                  <c:v>15.500741039781666</c:v>
                </c:pt>
                <c:pt idx="2">
                  <c:v>40.738071391533332</c:v>
                </c:pt>
                <c:pt idx="3">
                  <c:v>37.397600586037505</c:v>
                </c:pt>
                <c:pt idx="4">
                  <c:v>30.0703203081375</c:v>
                </c:pt>
                <c:pt idx="5">
                  <c:v>42.131321368629166</c:v>
                </c:pt>
                <c:pt idx="6">
                  <c:v>51.370578270233331</c:v>
                </c:pt>
                <c:pt idx="7">
                  <c:v>43.911656481254177</c:v>
                </c:pt>
                <c:pt idx="8">
                  <c:v>17.342787005066672</c:v>
                </c:pt>
                <c:pt idx="9">
                  <c:v>18.356111133615418</c:v>
                </c:pt>
              </c:numCache>
            </c:numRef>
          </c:val>
          <c:smooth val="0"/>
          <c:extLst>
            <c:ext xmlns:c16="http://schemas.microsoft.com/office/drawing/2014/chart" uri="{C3380CC4-5D6E-409C-BE32-E72D297353CC}">
              <c16:uniqueId val="{00000001-AA23-4E52-AEBA-392B617AAA4C}"/>
            </c:ext>
          </c:extLst>
        </c:ser>
        <c:dLbls>
          <c:showLegendKey val="0"/>
          <c:showVal val="0"/>
          <c:showCatName val="0"/>
          <c:showSerName val="0"/>
          <c:showPercent val="0"/>
          <c:showBubbleSize val="0"/>
        </c:dLbls>
        <c:marker val="1"/>
        <c:smooth val="0"/>
        <c:axId val="576834936"/>
        <c:axId val="576827720"/>
      </c:lineChart>
      <c:catAx>
        <c:axId val="57683493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827720"/>
        <c:crosses val="autoZero"/>
        <c:auto val="1"/>
        <c:lblAlgn val="ctr"/>
        <c:lblOffset val="100"/>
        <c:noMultiLvlLbl val="0"/>
      </c:catAx>
      <c:valAx>
        <c:axId val="576827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24-hr PM2.5 concentration (µg/m</a:t>
                </a:r>
                <a:r>
                  <a:rPr lang="en-US" sz="900" baseline="30000"/>
                  <a:t>3</a:t>
                </a:r>
                <a:r>
                  <a:rPr lang="en-US" sz="900"/>
                  <a:t>)</a:t>
                </a:r>
              </a:p>
            </c:rich>
          </c:tx>
          <c:layout>
            <c:manualLayout>
              <c:xMode val="edge"/>
              <c:yMode val="edge"/>
              <c:x val="2.5000000000000001E-2"/>
              <c:y val="0.1916373734533183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768349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January 2011</a:t>
            </a:r>
          </a:p>
          <a:p>
            <a:pPr>
              <a:defRPr sz="1000"/>
            </a:pPr>
            <a:r>
              <a:rPr lang="en-US" sz="1000"/>
              <a:t>Hawthorne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4282350448381401"/>
                  <c:y val="6.1884842519685001E-3"/>
                </c:manualLayout>
              </c:layout>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rendlineLbl>
          </c:trendline>
          <c:xVal>
            <c:numRef>
              <c:f>'[MPE_SLProvo-5.xlsx]MPE_SLProvo'!$BD$53:$BD$62</c:f>
              <c:numCache>
                <c:formatCode>General</c:formatCode>
                <c:ptCount val="10"/>
                <c:pt idx="0">
                  <c:v>15.2</c:v>
                </c:pt>
                <c:pt idx="1">
                  <c:v>18.3</c:v>
                </c:pt>
                <c:pt idx="2">
                  <c:v>32.1</c:v>
                </c:pt>
                <c:pt idx="3">
                  <c:v>50.8</c:v>
                </c:pt>
                <c:pt idx="4">
                  <c:v>49.1</c:v>
                </c:pt>
                <c:pt idx="5">
                  <c:v>56</c:v>
                </c:pt>
                <c:pt idx="6">
                  <c:v>65.400000000000006</c:v>
                </c:pt>
                <c:pt idx="7">
                  <c:v>68.099999999999994</c:v>
                </c:pt>
                <c:pt idx="8">
                  <c:v>25.9</c:v>
                </c:pt>
                <c:pt idx="9">
                  <c:v>14.2</c:v>
                </c:pt>
              </c:numCache>
            </c:numRef>
          </c:xVal>
          <c:yVal>
            <c:numRef>
              <c:f>'[MPE_SLProvo-5.xlsx]MPE_SLProvo'!$BE$53:$BE$62</c:f>
              <c:numCache>
                <c:formatCode>0.00</c:formatCode>
                <c:ptCount val="10"/>
                <c:pt idx="0">
                  <c:v>14.186444702049579</c:v>
                </c:pt>
                <c:pt idx="1">
                  <c:v>15.500741039781669</c:v>
                </c:pt>
                <c:pt idx="2">
                  <c:v>40.738071391533332</c:v>
                </c:pt>
                <c:pt idx="3">
                  <c:v>37.397600586037463</c:v>
                </c:pt>
                <c:pt idx="4">
                  <c:v>30.0703203081375</c:v>
                </c:pt>
                <c:pt idx="5">
                  <c:v>42.131321368629173</c:v>
                </c:pt>
                <c:pt idx="6">
                  <c:v>51.370578270233317</c:v>
                </c:pt>
                <c:pt idx="7">
                  <c:v>43.911656481254091</c:v>
                </c:pt>
                <c:pt idx="8">
                  <c:v>17.342787005066668</c:v>
                </c:pt>
                <c:pt idx="9">
                  <c:v>18.356111133615421</c:v>
                </c:pt>
              </c:numCache>
            </c:numRef>
          </c:yVal>
          <c:smooth val="0"/>
          <c:extLst>
            <c:ext xmlns:c16="http://schemas.microsoft.com/office/drawing/2014/chart" uri="{C3380CC4-5D6E-409C-BE32-E72D297353CC}">
              <c16:uniqueId val="{00000001-98A0-46B6-A196-306BB0A7D7C0}"/>
            </c:ext>
          </c:extLst>
        </c:ser>
        <c:dLbls>
          <c:showLegendKey val="0"/>
          <c:showVal val="0"/>
          <c:showCatName val="0"/>
          <c:showSerName val="0"/>
          <c:showPercent val="0"/>
          <c:showBubbleSize val="0"/>
        </c:dLbls>
        <c:axId val="-906597040"/>
        <c:axId val="-906137392"/>
      </c:scatterChart>
      <c:valAx>
        <c:axId val="-9065970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 PM2.5 concentration (µg/m</a:t>
                </a:r>
                <a:r>
                  <a:rPr lang="en-US" baseline="30000"/>
                  <a:t>3</a:t>
                </a: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6137392"/>
        <c:crosses val="autoZero"/>
        <c:crossBetween val="midCat"/>
      </c:valAx>
      <c:valAx>
        <c:axId val="-90613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Modeled PM2.5 concentration (µg/m</a:t>
                </a:r>
                <a:r>
                  <a:rPr lang="en-US" baseline="30000"/>
                  <a:t>3</a:t>
                </a:r>
                <a:r>
                  <a:rPr lang="en-US"/>
                  <a:t>)</a:t>
                </a:r>
              </a:p>
            </c:rich>
          </c:tx>
          <c:layout>
            <c:manualLayout>
              <c:xMode val="edge"/>
              <c:yMode val="edge"/>
              <c:x val="3.05555555555556E-2"/>
              <c:y val="0.172129629629629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65970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December 2013</a:t>
            </a:r>
          </a:p>
          <a:p>
            <a:pPr>
              <a:defRPr sz="1000"/>
            </a:pPr>
            <a:r>
              <a:rPr lang="en-US" sz="1000"/>
              <a:t>Hawthorne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6691375492126001"/>
                  <c:y val="-9.9891322178477696E-2"/>
                </c:manualLayout>
              </c:layout>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rendlineLbl>
          </c:trendline>
          <c:xVal>
            <c:numRef>
              <c:f>'[dec2013_15nov-2.xlsx]dec2013_15nov'!$BD$4:$BD$17</c:f>
              <c:numCache>
                <c:formatCode>General</c:formatCode>
                <c:ptCount val="14"/>
                <c:pt idx="0">
                  <c:v>7.3</c:v>
                </c:pt>
                <c:pt idx="1">
                  <c:v>7.1</c:v>
                </c:pt>
                <c:pt idx="2">
                  <c:v>11.4</c:v>
                </c:pt>
                <c:pt idx="3">
                  <c:v>19.899999999999999</c:v>
                </c:pt>
                <c:pt idx="4">
                  <c:v>37.200000000000003</c:v>
                </c:pt>
                <c:pt idx="5">
                  <c:v>51.8</c:v>
                </c:pt>
                <c:pt idx="6">
                  <c:v>61.3</c:v>
                </c:pt>
                <c:pt idx="7">
                  <c:v>60.7</c:v>
                </c:pt>
                <c:pt idx="8">
                  <c:v>61.6</c:v>
                </c:pt>
                <c:pt idx="9">
                  <c:v>51</c:v>
                </c:pt>
                <c:pt idx="10">
                  <c:v>50.8</c:v>
                </c:pt>
                <c:pt idx="11">
                  <c:v>44</c:v>
                </c:pt>
                <c:pt idx="12">
                  <c:v>19.5</c:v>
                </c:pt>
                <c:pt idx="13">
                  <c:v>20</c:v>
                </c:pt>
              </c:numCache>
            </c:numRef>
          </c:xVal>
          <c:yVal>
            <c:numRef>
              <c:f>'[dec2013_15nov-2.xlsx]dec2013_15nov'!$BD$24:$BD$37</c:f>
              <c:numCache>
                <c:formatCode>0.0</c:formatCode>
                <c:ptCount val="14"/>
                <c:pt idx="0">
                  <c:v>13.76603453820875</c:v>
                </c:pt>
                <c:pt idx="1">
                  <c:v>20.98756948219582</c:v>
                </c:pt>
                <c:pt idx="2">
                  <c:v>18.37279704082917</c:v>
                </c:pt>
                <c:pt idx="3">
                  <c:v>21.700950873560821</c:v>
                </c:pt>
                <c:pt idx="4">
                  <c:v>44.730953123187497</c:v>
                </c:pt>
                <c:pt idx="5">
                  <c:v>51.233389226612488</c:v>
                </c:pt>
                <c:pt idx="6">
                  <c:v>44.229044554108349</c:v>
                </c:pt>
                <c:pt idx="7">
                  <c:v>29.00229427347082</c:v>
                </c:pt>
                <c:pt idx="8">
                  <c:v>28.6801312848125</c:v>
                </c:pt>
                <c:pt idx="9">
                  <c:v>40.847386998974997</c:v>
                </c:pt>
                <c:pt idx="10">
                  <c:v>40.593947283408333</c:v>
                </c:pt>
                <c:pt idx="11">
                  <c:v>25.288615559288321</c:v>
                </c:pt>
                <c:pt idx="12">
                  <c:v>16.001598766965419</c:v>
                </c:pt>
                <c:pt idx="13">
                  <c:v>19.6968434161125</c:v>
                </c:pt>
              </c:numCache>
            </c:numRef>
          </c:yVal>
          <c:smooth val="0"/>
          <c:extLst>
            <c:ext xmlns:c16="http://schemas.microsoft.com/office/drawing/2014/chart" uri="{C3380CC4-5D6E-409C-BE32-E72D297353CC}">
              <c16:uniqueId val="{00000001-4418-4A27-98E9-6847CCE45934}"/>
            </c:ext>
          </c:extLst>
        </c:ser>
        <c:dLbls>
          <c:showLegendKey val="0"/>
          <c:showVal val="0"/>
          <c:showCatName val="0"/>
          <c:showSerName val="0"/>
          <c:showPercent val="0"/>
          <c:showBubbleSize val="0"/>
        </c:dLbls>
        <c:axId val="-966748416"/>
        <c:axId val="-1297394304"/>
      </c:scatterChart>
      <c:valAx>
        <c:axId val="-966748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 PM2.5 concentration (µg/m</a:t>
                </a:r>
                <a:r>
                  <a:rPr lang="en-US" baseline="30000"/>
                  <a:t>3</a:t>
                </a: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394304"/>
        <c:crosses val="autoZero"/>
        <c:crossBetween val="midCat"/>
      </c:valAx>
      <c:valAx>
        <c:axId val="-1297394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Modeled PM2.5</a:t>
                </a:r>
                <a:r>
                  <a:rPr lang="en-US" baseline="0"/>
                  <a:t> concentration (µg/m</a:t>
                </a:r>
                <a:r>
                  <a:rPr lang="en-US" baseline="30000"/>
                  <a:t>3</a:t>
                </a:r>
                <a:r>
                  <a:rPr lang="en-US" baseline="0"/>
                  <a:t>)</a:t>
                </a:r>
                <a:endParaRPr lang="en-US"/>
              </a:p>
            </c:rich>
          </c:tx>
          <c:layout>
            <c:manualLayout>
              <c:xMode val="edge"/>
              <c:yMode val="edge"/>
              <c:x val="3.05555555555556E-2"/>
              <c:y val="0.1304629629629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6748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February</a:t>
            </a:r>
            <a:r>
              <a:rPr lang="en-US" sz="1000" baseline="0"/>
              <a:t> 2016</a:t>
            </a:r>
            <a:endParaRPr lang="en-US" sz="1000"/>
          </a:p>
          <a:p>
            <a:pPr>
              <a:defRPr sz="1000"/>
            </a:pPr>
            <a:r>
              <a:rPr lang="en-US" sz="1000"/>
              <a:t>Hawthorne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3102087037507401"/>
                  <c:y val="-8.1695305664916895E-2"/>
                </c:manualLayout>
              </c:layout>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rendlineLbl>
          </c:trendline>
          <c:xVal>
            <c:numRef>
              <c:f>'[feb2016NH3Inj3-3.xlsx]feb2016NH3Inj3'!$CL$37:$CL$52</c:f>
              <c:numCache>
                <c:formatCode>General</c:formatCode>
                <c:ptCount val="16"/>
                <c:pt idx="0">
                  <c:v>3.2</c:v>
                </c:pt>
                <c:pt idx="1">
                  <c:v>5.4</c:v>
                </c:pt>
                <c:pt idx="2">
                  <c:v>9.6</c:v>
                </c:pt>
                <c:pt idx="3">
                  <c:v>14</c:v>
                </c:pt>
                <c:pt idx="4">
                  <c:v>19.2</c:v>
                </c:pt>
                <c:pt idx="5">
                  <c:v>21.3</c:v>
                </c:pt>
                <c:pt idx="6">
                  <c:v>38.6</c:v>
                </c:pt>
                <c:pt idx="7">
                  <c:v>44.5</c:v>
                </c:pt>
                <c:pt idx="8">
                  <c:v>50.1</c:v>
                </c:pt>
                <c:pt idx="9">
                  <c:v>59.2</c:v>
                </c:pt>
                <c:pt idx="10">
                  <c:v>53.5</c:v>
                </c:pt>
                <c:pt idx="11">
                  <c:v>58.9</c:v>
                </c:pt>
                <c:pt idx="12">
                  <c:v>52.4</c:v>
                </c:pt>
                <c:pt idx="13">
                  <c:v>42.1</c:v>
                </c:pt>
                <c:pt idx="14">
                  <c:v>25.6</c:v>
                </c:pt>
                <c:pt idx="15">
                  <c:v>7.5</c:v>
                </c:pt>
              </c:numCache>
            </c:numRef>
          </c:xVal>
          <c:yVal>
            <c:numRef>
              <c:f>'[feb2016NH3Inj3-3.xlsx]feb2016NH3Inj3'!$CM$37:$CM$52</c:f>
              <c:numCache>
                <c:formatCode>0.00</c:formatCode>
                <c:ptCount val="16"/>
                <c:pt idx="0">
                  <c:v>11.197892306230001</c:v>
                </c:pt>
                <c:pt idx="1">
                  <c:v>15.19199313188208</c:v>
                </c:pt>
                <c:pt idx="2">
                  <c:v>15.577004542258329</c:v>
                </c:pt>
                <c:pt idx="3">
                  <c:v>12.638841493916249</c:v>
                </c:pt>
                <c:pt idx="4">
                  <c:v>18.644209253454171</c:v>
                </c:pt>
                <c:pt idx="5">
                  <c:v>21.753798464991661</c:v>
                </c:pt>
                <c:pt idx="6">
                  <c:v>27.466163307729119</c:v>
                </c:pt>
                <c:pt idx="7">
                  <c:v>28.250109741787501</c:v>
                </c:pt>
                <c:pt idx="8">
                  <c:v>37.993725478979158</c:v>
                </c:pt>
                <c:pt idx="9">
                  <c:v>62.549736693683343</c:v>
                </c:pt>
                <c:pt idx="10">
                  <c:v>62.559131137858337</c:v>
                </c:pt>
                <c:pt idx="11">
                  <c:v>41.726557372050003</c:v>
                </c:pt>
                <c:pt idx="12">
                  <c:v>28.37490916672083</c:v>
                </c:pt>
                <c:pt idx="13">
                  <c:v>20.805148370271219</c:v>
                </c:pt>
                <c:pt idx="14">
                  <c:v>14.797498835615</c:v>
                </c:pt>
                <c:pt idx="15">
                  <c:v>11.20270945034588</c:v>
                </c:pt>
              </c:numCache>
            </c:numRef>
          </c:yVal>
          <c:smooth val="0"/>
          <c:extLst>
            <c:ext xmlns:c16="http://schemas.microsoft.com/office/drawing/2014/chart" uri="{C3380CC4-5D6E-409C-BE32-E72D297353CC}">
              <c16:uniqueId val="{00000001-91F2-453E-80A8-0EC7308F1CE0}"/>
            </c:ext>
          </c:extLst>
        </c:ser>
        <c:dLbls>
          <c:showLegendKey val="0"/>
          <c:showVal val="0"/>
          <c:showCatName val="0"/>
          <c:showSerName val="0"/>
          <c:showPercent val="0"/>
          <c:showBubbleSize val="0"/>
        </c:dLbls>
        <c:axId val="-966118272"/>
        <c:axId val="-970097024"/>
      </c:scatterChart>
      <c:valAx>
        <c:axId val="-9661182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 PM2.5 concentration (µg/m</a:t>
                </a:r>
                <a:r>
                  <a:rPr lang="en-US" baseline="30000"/>
                  <a:t>3</a:t>
                </a: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0097024"/>
        <c:crosses val="autoZero"/>
        <c:crossBetween val="midCat"/>
      </c:valAx>
      <c:valAx>
        <c:axId val="-97009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Modeled PM2.5 concentration (µg/m</a:t>
                </a:r>
                <a:r>
                  <a:rPr lang="en-US" baseline="30000"/>
                  <a:t>3</a:t>
                </a:r>
                <a:r>
                  <a:rPr lang="en-US"/>
                  <a:t>)</a:t>
                </a:r>
              </a:p>
            </c:rich>
          </c:tx>
          <c:layout>
            <c:manualLayout>
              <c:xMode val="edge"/>
              <c:yMode val="edge"/>
              <c:x val="1.94174757281553E-2"/>
              <c:y val="0.158796296296295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611827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Hawthorne</a:t>
            </a:r>
          </a:p>
          <a:p>
            <a:pPr>
              <a:defRPr sz="1000"/>
            </a:pPr>
            <a:r>
              <a:rPr lang="en-US" sz="1000"/>
              <a:t>January 07</a:t>
            </a:r>
            <a:r>
              <a:rPr lang="en-US" sz="1000" baseline="0"/>
              <a:t> 2011</a:t>
            </a:r>
          </a:p>
          <a:p>
            <a:pPr>
              <a:defRPr sz="1000"/>
            </a:pPr>
            <a:r>
              <a:rPr lang="en-US" sz="1000" baseline="0"/>
              <a:t>Measured PM2.5 = 61.8 µg/m3 </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69-48A7-83C7-28FB087230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69-48A7-83C7-28FB087230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A69-48A7-83C7-28FB0872307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A69-48A7-83C7-28FB0872307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A69-48A7-83C7-28FB0872307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A69-48A7-83C7-28FB0872307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A69-48A7-83C7-28FB0872307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A69-48A7-83C7-28FB0872307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A69-48A7-83C7-28FB0872307B}"/>
              </c:ext>
            </c:extLst>
          </c:dPt>
          <c:dLbls>
            <c:dLbl>
              <c:idx val="1"/>
              <c:layout>
                <c:manualLayout>
                  <c:x val="5.2946935060536798E-2"/>
                  <c:y val="-0.1157882378673250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A69-48A7-83C7-28FB0872307B}"/>
                </c:ext>
              </c:extLst>
            </c:dLbl>
            <c:dLbl>
              <c:idx val="4"/>
              <c:layout>
                <c:manualLayout>
                  <c:x val="-1.2023749047498099E-2"/>
                  <c:y val="0.3477651690597500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A69-48A7-83C7-28FB0872307B}"/>
                </c:ext>
              </c:extLst>
            </c:dLbl>
            <c:dLbl>
              <c:idx val="5"/>
              <c:layout>
                <c:manualLayout>
                  <c:x val="-7.2813478960291297E-4"/>
                  <c:y val="-8.76013200555813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A69-48A7-83C7-28FB0872307B}"/>
                </c:ext>
              </c:extLst>
            </c:dLbl>
            <c:dLbl>
              <c:idx val="6"/>
              <c:layout>
                <c:manualLayout>
                  <c:x val="3.7075254706065001E-3"/>
                  <c:y val="0.10512582985950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A69-48A7-83C7-28FB0872307B}"/>
                </c:ext>
              </c:extLst>
            </c:dLbl>
            <c:dLbl>
              <c:idx val="7"/>
              <c:layout>
                <c:manualLayout>
                  <c:x val="4.9526042107639799E-2"/>
                  <c:y val="-0.1719507488034580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A69-48A7-83C7-28FB0872307B}"/>
                </c:ext>
              </c:extLst>
            </c:dLbl>
            <c:dLbl>
              <c:idx val="8"/>
              <c:layout>
                <c:manualLayout>
                  <c:x val="0.168277982389298"/>
                  <c:y val="0.1816906618290360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A69-48A7-83C7-28FB0872307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MPE_SLProvo!$BG$2:$BO$2</c:f>
              <c:strCache>
                <c:ptCount val="9"/>
                <c:pt idx="0">
                  <c:v>NO3</c:v>
                </c:pt>
                <c:pt idx="1">
                  <c:v>NH4</c:v>
                </c:pt>
                <c:pt idx="2">
                  <c:v>SO4</c:v>
                </c:pt>
                <c:pt idx="3">
                  <c:v>OC</c:v>
                </c:pt>
                <c:pt idx="4">
                  <c:v>EC</c:v>
                </c:pt>
                <c:pt idx="5">
                  <c:v>Crustal Material</c:v>
                </c:pt>
                <c:pt idx="6">
                  <c:v>Na</c:v>
                </c:pt>
                <c:pt idx="7">
                  <c:v>Cl</c:v>
                </c:pt>
                <c:pt idx="8">
                  <c:v>Other mass</c:v>
                </c:pt>
              </c:strCache>
            </c:strRef>
          </c:cat>
          <c:val>
            <c:numRef>
              <c:f>MPE_SLProvo!$BG$5:$BO$5</c:f>
              <c:numCache>
                <c:formatCode>0.00</c:formatCode>
                <c:ptCount val="9"/>
                <c:pt idx="0">
                  <c:v>25.4</c:v>
                </c:pt>
                <c:pt idx="1">
                  <c:v>11.8</c:v>
                </c:pt>
                <c:pt idx="2">
                  <c:v>5.59</c:v>
                </c:pt>
                <c:pt idx="3">
                  <c:v>5.3999999999999986</c:v>
                </c:pt>
                <c:pt idx="4">
                  <c:v>0.92700000000000005</c:v>
                </c:pt>
                <c:pt idx="5">
                  <c:v>1.1060904</c:v>
                </c:pt>
                <c:pt idx="6">
                  <c:v>3.0700000000000002E-2</c:v>
                </c:pt>
                <c:pt idx="7">
                  <c:v>2.5099999999999998</c:v>
                </c:pt>
                <c:pt idx="8">
                  <c:v>9.0362095999999958</c:v>
                </c:pt>
              </c:numCache>
            </c:numRef>
          </c:val>
          <c:extLst>
            <c:ext xmlns:c16="http://schemas.microsoft.com/office/drawing/2014/chart" uri="{C3380CC4-5D6E-409C-BE32-E72D297353CC}">
              <c16:uniqueId val="{00000012-8A69-48A7-83C7-28FB0872307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Hawthorne</a:t>
            </a:r>
          </a:p>
          <a:p>
            <a:pPr>
              <a:defRPr sz="1000"/>
            </a:pPr>
            <a:r>
              <a:rPr lang="en-US" sz="1000"/>
              <a:t>January 07</a:t>
            </a:r>
            <a:r>
              <a:rPr lang="en-US" sz="1000" baseline="0"/>
              <a:t> 2011</a:t>
            </a:r>
          </a:p>
          <a:p>
            <a:pPr>
              <a:defRPr sz="1000"/>
            </a:pPr>
            <a:r>
              <a:rPr lang="en-US" sz="1000" baseline="0"/>
              <a:t>Modeled PM2.5 = 51.4 µg/m3 </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AA-4490-96D2-6C8FF3D9AE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AA-4490-96D2-6C8FF3D9AE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AA-4490-96D2-6C8FF3D9AE7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1AA-4490-96D2-6C8FF3D9AE7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1AA-4490-96D2-6C8FF3D9AE7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1AA-4490-96D2-6C8FF3D9AE7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1AA-4490-96D2-6C8FF3D9AE7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1AA-4490-96D2-6C8FF3D9AE7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1AA-4490-96D2-6C8FF3D9AE7C}"/>
              </c:ext>
            </c:extLst>
          </c:dPt>
          <c:dLbls>
            <c:dLbl>
              <c:idx val="3"/>
              <c:layout>
                <c:manualLayout>
                  <c:x val="0.18105967600824099"/>
                  <c:y val="-1.760942566002780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1AA-4490-96D2-6C8FF3D9AE7C}"/>
                </c:ext>
              </c:extLst>
            </c:dLbl>
            <c:dLbl>
              <c:idx val="5"/>
              <c:layout>
                <c:manualLayout>
                  <c:x val="-4.1466641266615901E-2"/>
                  <c:y val="0.1290833590654109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1AA-4490-96D2-6C8FF3D9AE7C}"/>
                </c:ext>
              </c:extLst>
            </c:dLbl>
            <c:dLbl>
              <c:idx val="6"/>
              <c:layout>
                <c:manualLayout>
                  <c:x val="-4.4482897299127903E-2"/>
                  <c:y val="-2.12353970459575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1AA-4490-96D2-6C8FF3D9AE7C}"/>
                </c:ext>
              </c:extLst>
            </c:dLbl>
            <c:dLbl>
              <c:idx val="7"/>
              <c:layout>
                <c:manualLayout>
                  <c:x val="3.2176925464962099E-2"/>
                  <c:y val="-9.127843394575679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1AA-4490-96D2-6C8FF3D9AE7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MPE_SLProvo!$BG$2:$BO$2</c:f>
              <c:strCache>
                <c:ptCount val="9"/>
                <c:pt idx="0">
                  <c:v>NO3</c:v>
                </c:pt>
                <c:pt idx="1">
                  <c:v>NH4</c:v>
                </c:pt>
                <c:pt idx="2">
                  <c:v>SO4</c:v>
                </c:pt>
                <c:pt idx="3">
                  <c:v>OC</c:v>
                </c:pt>
                <c:pt idx="4">
                  <c:v>EC</c:v>
                </c:pt>
                <c:pt idx="5">
                  <c:v>Crustal Material</c:v>
                </c:pt>
                <c:pt idx="6">
                  <c:v>Na</c:v>
                </c:pt>
                <c:pt idx="7">
                  <c:v>Cl</c:v>
                </c:pt>
                <c:pt idx="8">
                  <c:v>Other mass</c:v>
                </c:pt>
              </c:strCache>
            </c:strRef>
          </c:cat>
          <c:val>
            <c:numRef>
              <c:f>MPE_SLProvo!$BG$28:$BO$28</c:f>
              <c:numCache>
                <c:formatCode>0.0</c:formatCode>
                <c:ptCount val="9"/>
                <c:pt idx="0">
                  <c:v>21.64558100699999</c:v>
                </c:pt>
                <c:pt idx="1">
                  <c:v>7.8447297811504164</c:v>
                </c:pt>
                <c:pt idx="2">
                  <c:v>4.1381277441983331</c:v>
                </c:pt>
                <c:pt idx="3">
                  <c:v>5.4275655423756488</c:v>
                </c:pt>
                <c:pt idx="4">
                  <c:v>3.9344098965329182</c:v>
                </c:pt>
                <c:pt idx="5">
                  <c:v>2.0596242447687501</c:v>
                </c:pt>
                <c:pt idx="6">
                  <c:v>0.159419070929333</c:v>
                </c:pt>
                <c:pt idx="7">
                  <c:v>0.49977677377558299</c:v>
                </c:pt>
                <c:pt idx="8">
                  <c:v>5.6613442095023476</c:v>
                </c:pt>
              </c:numCache>
            </c:numRef>
          </c:val>
          <c:extLst>
            <c:ext xmlns:c16="http://schemas.microsoft.com/office/drawing/2014/chart" uri="{C3380CC4-5D6E-409C-BE32-E72D297353CC}">
              <c16:uniqueId val="{00000012-71AA-4490-96D2-6C8FF3D9AE7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Modeled</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Hawthorne</c:v>
          </c:tx>
          <c:spPr>
            <a:ln w="3175" cap="sq">
              <a:solidFill>
                <a:sysClr val="windowText" lastClr="000000"/>
              </a:solidFill>
              <a:prstDash val="dash"/>
              <a:bevel/>
            </a:ln>
            <a:effectLst/>
          </c:spPr>
          <c:marker>
            <c:symbol val="diamond"/>
            <c:size val="3"/>
            <c:spPr>
              <a:solidFill>
                <a:schemeClr val="tx1"/>
              </a:solidFill>
              <a:ln w="3175" cap="sq">
                <a:solidFill>
                  <a:sysClr val="windowText" lastClr="000000"/>
                </a:solidFill>
              </a:ln>
              <a:effectLst/>
            </c:spPr>
          </c:marker>
          <c:cat>
            <c:multiLvlStrRef>
              <c:f>Ammonia!$A$3:$B$242</c:f>
              <c:multiLvlStrCache>
                <c:ptCount val="240"/>
                <c:lvl>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pt idx="72">
                    <c:v>0</c:v>
                  </c:pt>
                  <c:pt idx="73">
                    <c:v>1</c:v>
                  </c:pt>
                  <c:pt idx="74">
                    <c:v>2</c:v>
                  </c:pt>
                  <c:pt idx="75">
                    <c:v>3</c:v>
                  </c:pt>
                  <c:pt idx="76">
                    <c:v>4</c:v>
                  </c:pt>
                  <c:pt idx="77">
                    <c:v>5</c:v>
                  </c:pt>
                  <c:pt idx="78">
                    <c:v>6</c:v>
                  </c:pt>
                  <c:pt idx="79">
                    <c:v>7</c:v>
                  </c:pt>
                  <c:pt idx="80">
                    <c:v>8</c:v>
                  </c:pt>
                  <c:pt idx="81">
                    <c:v>9</c:v>
                  </c:pt>
                  <c:pt idx="82">
                    <c:v>10</c:v>
                  </c:pt>
                  <c:pt idx="83">
                    <c:v>11</c:v>
                  </c:pt>
                  <c:pt idx="84">
                    <c:v>12</c:v>
                  </c:pt>
                  <c:pt idx="85">
                    <c:v>13</c:v>
                  </c:pt>
                  <c:pt idx="86">
                    <c:v>14</c:v>
                  </c:pt>
                  <c:pt idx="87">
                    <c:v>15</c:v>
                  </c:pt>
                  <c:pt idx="88">
                    <c:v>16</c:v>
                  </c:pt>
                  <c:pt idx="89">
                    <c:v>17</c:v>
                  </c:pt>
                  <c:pt idx="90">
                    <c:v>18</c:v>
                  </c:pt>
                  <c:pt idx="91">
                    <c:v>19</c:v>
                  </c:pt>
                  <c:pt idx="92">
                    <c:v>20</c:v>
                  </c:pt>
                  <c:pt idx="93">
                    <c:v>21</c:v>
                  </c:pt>
                  <c:pt idx="94">
                    <c:v>22</c:v>
                  </c:pt>
                  <c:pt idx="95">
                    <c:v>23</c:v>
                  </c:pt>
                  <c:pt idx="96">
                    <c:v>0</c:v>
                  </c:pt>
                  <c:pt idx="97">
                    <c:v>1</c:v>
                  </c:pt>
                  <c:pt idx="98">
                    <c:v>2</c:v>
                  </c:pt>
                  <c:pt idx="99">
                    <c:v>3</c:v>
                  </c:pt>
                  <c:pt idx="100">
                    <c:v>4</c:v>
                  </c:pt>
                  <c:pt idx="101">
                    <c:v>5</c:v>
                  </c:pt>
                  <c:pt idx="102">
                    <c:v>6</c:v>
                  </c:pt>
                  <c:pt idx="103">
                    <c:v>7</c:v>
                  </c:pt>
                  <c:pt idx="104">
                    <c:v>8</c:v>
                  </c:pt>
                  <c:pt idx="105">
                    <c:v>9</c:v>
                  </c:pt>
                  <c:pt idx="106">
                    <c:v>10</c:v>
                  </c:pt>
                  <c:pt idx="107">
                    <c:v>11</c:v>
                  </c:pt>
                  <c:pt idx="108">
                    <c:v>12</c:v>
                  </c:pt>
                  <c:pt idx="109">
                    <c:v>13</c:v>
                  </c:pt>
                  <c:pt idx="110">
                    <c:v>14</c:v>
                  </c:pt>
                  <c:pt idx="111">
                    <c:v>15</c:v>
                  </c:pt>
                  <c:pt idx="112">
                    <c:v>16</c:v>
                  </c:pt>
                  <c:pt idx="113">
                    <c:v>17</c:v>
                  </c:pt>
                  <c:pt idx="114">
                    <c:v>18</c:v>
                  </c:pt>
                  <c:pt idx="115">
                    <c:v>19</c:v>
                  </c:pt>
                  <c:pt idx="116">
                    <c:v>20</c:v>
                  </c:pt>
                  <c:pt idx="117">
                    <c:v>21</c:v>
                  </c:pt>
                  <c:pt idx="118">
                    <c:v>22</c:v>
                  </c:pt>
                  <c:pt idx="119">
                    <c:v>23</c:v>
                  </c:pt>
                  <c:pt idx="120">
                    <c:v>0</c:v>
                  </c:pt>
                  <c:pt idx="121">
                    <c:v>1</c:v>
                  </c:pt>
                  <c:pt idx="122">
                    <c:v>2</c:v>
                  </c:pt>
                  <c:pt idx="123">
                    <c:v>3</c:v>
                  </c:pt>
                  <c:pt idx="124">
                    <c:v>4</c:v>
                  </c:pt>
                  <c:pt idx="125">
                    <c:v>5</c:v>
                  </c:pt>
                  <c:pt idx="126">
                    <c:v>6</c:v>
                  </c:pt>
                  <c:pt idx="127">
                    <c:v>7</c:v>
                  </c:pt>
                  <c:pt idx="128">
                    <c:v>8</c:v>
                  </c:pt>
                  <c:pt idx="129">
                    <c:v>9</c:v>
                  </c:pt>
                  <c:pt idx="130">
                    <c:v>10</c:v>
                  </c:pt>
                  <c:pt idx="131">
                    <c:v>11</c:v>
                  </c:pt>
                  <c:pt idx="132">
                    <c:v>12</c:v>
                  </c:pt>
                  <c:pt idx="133">
                    <c:v>13</c:v>
                  </c:pt>
                  <c:pt idx="134">
                    <c:v>14</c:v>
                  </c:pt>
                  <c:pt idx="135">
                    <c:v>15</c:v>
                  </c:pt>
                  <c:pt idx="136">
                    <c:v>16</c:v>
                  </c:pt>
                  <c:pt idx="137">
                    <c:v>17</c:v>
                  </c:pt>
                  <c:pt idx="138">
                    <c:v>18</c:v>
                  </c:pt>
                  <c:pt idx="139">
                    <c:v>19</c:v>
                  </c:pt>
                  <c:pt idx="140">
                    <c:v>20</c:v>
                  </c:pt>
                  <c:pt idx="141">
                    <c:v>21</c:v>
                  </c:pt>
                  <c:pt idx="142">
                    <c:v>22</c:v>
                  </c:pt>
                  <c:pt idx="143">
                    <c:v>23</c:v>
                  </c:pt>
                  <c:pt idx="144">
                    <c:v>0</c:v>
                  </c:pt>
                  <c:pt idx="145">
                    <c:v>1</c:v>
                  </c:pt>
                  <c:pt idx="146">
                    <c:v>2</c:v>
                  </c:pt>
                  <c:pt idx="147">
                    <c:v>3</c:v>
                  </c:pt>
                  <c:pt idx="148">
                    <c:v>4</c:v>
                  </c:pt>
                  <c:pt idx="149">
                    <c:v>5</c:v>
                  </c:pt>
                  <c:pt idx="150">
                    <c:v>6</c:v>
                  </c:pt>
                  <c:pt idx="151">
                    <c:v>7</c:v>
                  </c:pt>
                  <c:pt idx="152">
                    <c:v>8</c:v>
                  </c:pt>
                  <c:pt idx="153">
                    <c:v>9</c:v>
                  </c:pt>
                  <c:pt idx="154">
                    <c:v>10</c:v>
                  </c:pt>
                  <c:pt idx="155">
                    <c:v>11</c:v>
                  </c:pt>
                  <c:pt idx="156">
                    <c:v>12</c:v>
                  </c:pt>
                  <c:pt idx="157">
                    <c:v>13</c:v>
                  </c:pt>
                  <c:pt idx="158">
                    <c:v>14</c:v>
                  </c:pt>
                  <c:pt idx="159">
                    <c:v>15</c:v>
                  </c:pt>
                  <c:pt idx="160">
                    <c:v>16</c:v>
                  </c:pt>
                  <c:pt idx="161">
                    <c:v>17</c:v>
                  </c:pt>
                  <c:pt idx="162">
                    <c:v>18</c:v>
                  </c:pt>
                  <c:pt idx="163">
                    <c:v>19</c:v>
                  </c:pt>
                  <c:pt idx="164">
                    <c:v>20</c:v>
                  </c:pt>
                  <c:pt idx="165">
                    <c:v>21</c:v>
                  </c:pt>
                  <c:pt idx="166">
                    <c:v>22</c:v>
                  </c:pt>
                  <c:pt idx="167">
                    <c:v>23</c:v>
                  </c:pt>
                  <c:pt idx="168">
                    <c:v>0</c:v>
                  </c:pt>
                  <c:pt idx="169">
                    <c:v>1</c:v>
                  </c:pt>
                  <c:pt idx="170">
                    <c:v>2</c:v>
                  </c:pt>
                  <c:pt idx="171">
                    <c:v>3</c:v>
                  </c:pt>
                  <c:pt idx="172">
                    <c:v>4</c:v>
                  </c:pt>
                  <c:pt idx="173">
                    <c:v>5</c:v>
                  </c:pt>
                  <c:pt idx="174">
                    <c:v>6</c:v>
                  </c:pt>
                  <c:pt idx="175">
                    <c:v>7</c:v>
                  </c:pt>
                  <c:pt idx="176">
                    <c:v>8</c:v>
                  </c:pt>
                  <c:pt idx="177">
                    <c:v>9</c:v>
                  </c:pt>
                  <c:pt idx="178">
                    <c:v>10</c:v>
                  </c:pt>
                  <c:pt idx="179">
                    <c:v>11</c:v>
                  </c:pt>
                  <c:pt idx="180">
                    <c:v>12</c:v>
                  </c:pt>
                  <c:pt idx="181">
                    <c:v>13</c:v>
                  </c:pt>
                  <c:pt idx="182">
                    <c:v>14</c:v>
                  </c:pt>
                  <c:pt idx="183">
                    <c:v>15</c:v>
                  </c:pt>
                  <c:pt idx="184">
                    <c:v>16</c:v>
                  </c:pt>
                  <c:pt idx="185">
                    <c:v>17</c:v>
                  </c:pt>
                  <c:pt idx="186">
                    <c:v>18</c:v>
                  </c:pt>
                  <c:pt idx="187">
                    <c:v>19</c:v>
                  </c:pt>
                  <c:pt idx="188">
                    <c:v>20</c:v>
                  </c:pt>
                  <c:pt idx="189">
                    <c:v>21</c:v>
                  </c:pt>
                  <c:pt idx="190">
                    <c:v>22</c:v>
                  </c:pt>
                  <c:pt idx="191">
                    <c:v>23</c:v>
                  </c:pt>
                  <c:pt idx="192">
                    <c:v>0</c:v>
                  </c:pt>
                  <c:pt idx="193">
                    <c:v>1</c:v>
                  </c:pt>
                  <c:pt idx="194">
                    <c:v>2</c:v>
                  </c:pt>
                  <c:pt idx="195">
                    <c:v>3</c:v>
                  </c:pt>
                  <c:pt idx="196">
                    <c:v>4</c:v>
                  </c:pt>
                  <c:pt idx="197">
                    <c:v>5</c:v>
                  </c:pt>
                  <c:pt idx="198">
                    <c:v>6</c:v>
                  </c:pt>
                  <c:pt idx="199">
                    <c:v>7</c:v>
                  </c:pt>
                  <c:pt idx="200">
                    <c:v>8</c:v>
                  </c:pt>
                  <c:pt idx="201">
                    <c:v>9</c:v>
                  </c:pt>
                  <c:pt idx="202">
                    <c:v>10</c:v>
                  </c:pt>
                  <c:pt idx="203">
                    <c:v>11</c:v>
                  </c:pt>
                  <c:pt idx="204">
                    <c:v>12</c:v>
                  </c:pt>
                  <c:pt idx="205">
                    <c:v>13</c:v>
                  </c:pt>
                  <c:pt idx="206">
                    <c:v>14</c:v>
                  </c:pt>
                  <c:pt idx="207">
                    <c:v>15</c:v>
                  </c:pt>
                  <c:pt idx="208">
                    <c:v>16</c:v>
                  </c:pt>
                  <c:pt idx="209">
                    <c:v>17</c:v>
                  </c:pt>
                  <c:pt idx="210">
                    <c:v>18</c:v>
                  </c:pt>
                  <c:pt idx="211">
                    <c:v>19</c:v>
                  </c:pt>
                  <c:pt idx="212">
                    <c:v>20</c:v>
                  </c:pt>
                  <c:pt idx="213">
                    <c:v>21</c:v>
                  </c:pt>
                  <c:pt idx="214">
                    <c:v>22</c:v>
                  </c:pt>
                  <c:pt idx="215">
                    <c:v>23</c:v>
                  </c:pt>
                  <c:pt idx="216">
                    <c:v>0</c:v>
                  </c:pt>
                  <c:pt idx="217">
                    <c:v>1</c:v>
                  </c:pt>
                  <c:pt idx="218">
                    <c:v>2</c:v>
                  </c:pt>
                  <c:pt idx="219">
                    <c:v>3</c:v>
                  </c:pt>
                  <c:pt idx="220">
                    <c:v>4</c:v>
                  </c:pt>
                  <c:pt idx="221">
                    <c:v>5</c:v>
                  </c:pt>
                  <c:pt idx="222">
                    <c:v>6</c:v>
                  </c:pt>
                  <c:pt idx="223">
                    <c:v>7</c:v>
                  </c:pt>
                  <c:pt idx="224">
                    <c:v>8</c:v>
                  </c:pt>
                  <c:pt idx="225">
                    <c:v>9</c:v>
                  </c:pt>
                  <c:pt idx="226">
                    <c:v>10</c:v>
                  </c:pt>
                  <c:pt idx="227">
                    <c:v>11</c:v>
                  </c:pt>
                  <c:pt idx="228">
                    <c:v>12</c:v>
                  </c:pt>
                  <c:pt idx="229">
                    <c:v>13</c:v>
                  </c:pt>
                  <c:pt idx="230">
                    <c:v>14</c:v>
                  </c:pt>
                  <c:pt idx="231">
                    <c:v>15</c:v>
                  </c:pt>
                  <c:pt idx="232">
                    <c:v>16</c:v>
                  </c:pt>
                  <c:pt idx="233">
                    <c:v>17</c:v>
                  </c:pt>
                  <c:pt idx="234">
                    <c:v>18</c:v>
                  </c:pt>
                  <c:pt idx="235">
                    <c:v>19</c:v>
                  </c:pt>
                  <c:pt idx="236">
                    <c:v>20</c:v>
                  </c:pt>
                  <c:pt idx="237">
                    <c:v>21</c:v>
                  </c:pt>
                  <c:pt idx="238">
                    <c:v>22</c:v>
                  </c:pt>
                  <c:pt idx="239">
                    <c:v>23</c:v>
                  </c:pt>
                </c:lvl>
                <c:lvl>
                  <c:pt idx="0">
                    <c:v>Jan. 01</c:v>
                  </c:pt>
                  <c:pt idx="24">
                    <c:v>Jan. 02</c:v>
                  </c:pt>
                  <c:pt idx="48">
                    <c:v>Jan. 03</c:v>
                  </c:pt>
                  <c:pt idx="72">
                    <c:v>Jan. 04</c:v>
                  </c:pt>
                  <c:pt idx="96">
                    <c:v>Jan. 05</c:v>
                  </c:pt>
                  <c:pt idx="120">
                    <c:v>Jan. 06</c:v>
                  </c:pt>
                  <c:pt idx="144">
                    <c:v>Jan. 07</c:v>
                  </c:pt>
                  <c:pt idx="168">
                    <c:v>Jan. 08</c:v>
                  </c:pt>
                  <c:pt idx="192">
                    <c:v>Jan. 09</c:v>
                  </c:pt>
                  <c:pt idx="216">
                    <c:v>Jan. 10</c:v>
                  </c:pt>
                </c:lvl>
              </c:multiLvlStrCache>
            </c:multiLvlStrRef>
          </c:cat>
          <c:val>
            <c:numRef>
              <c:f>Ammonia!$C$3:$C$242</c:f>
              <c:numCache>
                <c:formatCode>0.00</c:formatCode>
                <c:ptCount val="240"/>
                <c:pt idx="0">
                  <c:v>3.5969647578899999</c:v>
                </c:pt>
                <c:pt idx="1">
                  <c:v>3.336938330899998</c:v>
                </c:pt>
                <c:pt idx="2">
                  <c:v>3.27302329242</c:v>
                </c:pt>
                <c:pt idx="3">
                  <c:v>3.573253983629999</c:v>
                </c:pt>
                <c:pt idx="4">
                  <c:v>3.8806975353499999</c:v>
                </c:pt>
                <c:pt idx="5">
                  <c:v>4.0613380260799996</c:v>
                </c:pt>
                <c:pt idx="6">
                  <c:v>4.9411891959600034</c:v>
                </c:pt>
                <c:pt idx="7">
                  <c:v>5.5674323812099979</c:v>
                </c:pt>
                <c:pt idx="8">
                  <c:v>5.0202147103799968</c:v>
                </c:pt>
                <c:pt idx="9">
                  <c:v>3.2954474445400002</c:v>
                </c:pt>
                <c:pt idx="10">
                  <c:v>2.3086096625799999</c:v>
                </c:pt>
                <c:pt idx="11">
                  <c:v>2.22230004147</c:v>
                </c:pt>
                <c:pt idx="12">
                  <c:v>2.1366609726100001</c:v>
                </c:pt>
                <c:pt idx="13">
                  <c:v>1.95324025117</c:v>
                </c:pt>
                <c:pt idx="14">
                  <c:v>2.12239916436</c:v>
                </c:pt>
                <c:pt idx="15">
                  <c:v>2.8886790387299999</c:v>
                </c:pt>
                <c:pt idx="16">
                  <c:v>4.4301333837200003</c:v>
                </c:pt>
                <c:pt idx="17">
                  <c:v>5.8480584994000004</c:v>
                </c:pt>
                <c:pt idx="18">
                  <c:v>5.50375040621</c:v>
                </c:pt>
                <c:pt idx="19">
                  <c:v>5.72821917012</c:v>
                </c:pt>
                <c:pt idx="20">
                  <c:v>5.8682635426500003</c:v>
                </c:pt>
                <c:pt idx="21">
                  <c:v>5.5025857873299966</c:v>
                </c:pt>
                <c:pt idx="22">
                  <c:v>5.1367543637800006</c:v>
                </c:pt>
                <c:pt idx="23">
                  <c:v>4.7160615213199977</c:v>
                </c:pt>
                <c:pt idx="24">
                  <c:v>4.3546361848699986</c:v>
                </c:pt>
                <c:pt idx="25">
                  <c:v>4.4164792634499994</c:v>
                </c:pt>
                <c:pt idx="26">
                  <c:v>4.6430230140699997</c:v>
                </c:pt>
                <c:pt idx="27">
                  <c:v>4.5126425102400001</c:v>
                </c:pt>
                <c:pt idx="28">
                  <c:v>4.4039366766799963</c:v>
                </c:pt>
                <c:pt idx="29">
                  <c:v>4.5892912894500002</c:v>
                </c:pt>
                <c:pt idx="30">
                  <c:v>5.2837464027100003</c:v>
                </c:pt>
                <c:pt idx="31">
                  <c:v>6.3924337737299979</c:v>
                </c:pt>
                <c:pt idx="32">
                  <c:v>6.7874784581400007</c:v>
                </c:pt>
                <c:pt idx="33">
                  <c:v>5.0851898267899962</c:v>
                </c:pt>
                <c:pt idx="34">
                  <c:v>4.0026032365899979</c:v>
                </c:pt>
                <c:pt idx="35">
                  <c:v>3.6605645436800001</c:v>
                </c:pt>
                <c:pt idx="36">
                  <c:v>3.5275311674900012</c:v>
                </c:pt>
                <c:pt idx="37">
                  <c:v>3.4867667127400002</c:v>
                </c:pt>
                <c:pt idx="38">
                  <c:v>3.6075073294300002</c:v>
                </c:pt>
                <c:pt idx="39">
                  <c:v>4.7633396461599977</c:v>
                </c:pt>
                <c:pt idx="40">
                  <c:v>7.5103100389199966</c:v>
                </c:pt>
                <c:pt idx="41">
                  <c:v>9.1754961758900002</c:v>
                </c:pt>
                <c:pt idx="42">
                  <c:v>9.4790076836900035</c:v>
                </c:pt>
                <c:pt idx="43">
                  <c:v>9.5110302791000052</c:v>
                </c:pt>
                <c:pt idx="44">
                  <c:v>9.1625452041600006</c:v>
                </c:pt>
                <c:pt idx="45">
                  <c:v>8.8007235899600005</c:v>
                </c:pt>
                <c:pt idx="46">
                  <c:v>8.3231944590799998</c:v>
                </c:pt>
                <c:pt idx="47">
                  <c:v>4.9342699348900032</c:v>
                </c:pt>
                <c:pt idx="48">
                  <c:v>3.86195629835</c:v>
                </c:pt>
                <c:pt idx="49">
                  <c:v>2.8758787084400002</c:v>
                </c:pt>
                <c:pt idx="50">
                  <c:v>2.0847115665699998</c:v>
                </c:pt>
                <c:pt idx="51">
                  <c:v>1.6429348615899999</c:v>
                </c:pt>
                <c:pt idx="52">
                  <c:v>2.0363393705299999</c:v>
                </c:pt>
                <c:pt idx="53">
                  <c:v>2.7339782100200001</c:v>
                </c:pt>
                <c:pt idx="54">
                  <c:v>4.9449200741899979</c:v>
                </c:pt>
                <c:pt idx="55">
                  <c:v>7.6874168589699936</c:v>
                </c:pt>
                <c:pt idx="56">
                  <c:v>9.5602171495600015</c:v>
                </c:pt>
                <c:pt idx="57">
                  <c:v>8.5225738585000048</c:v>
                </c:pt>
                <c:pt idx="58">
                  <c:v>6.6861426457799986</c:v>
                </c:pt>
                <c:pt idx="59">
                  <c:v>5.8369291946299997</c:v>
                </c:pt>
                <c:pt idx="60">
                  <c:v>5.1800133660399963</c:v>
                </c:pt>
                <c:pt idx="61">
                  <c:v>3.9612269029</c:v>
                </c:pt>
                <c:pt idx="62">
                  <c:v>3.58465709724</c:v>
                </c:pt>
                <c:pt idx="63">
                  <c:v>4.1699144057899966</c:v>
                </c:pt>
                <c:pt idx="64">
                  <c:v>6.6843116655899966</c:v>
                </c:pt>
                <c:pt idx="65">
                  <c:v>8.0812936648699978</c:v>
                </c:pt>
                <c:pt idx="66">
                  <c:v>6.1480123549699979</c:v>
                </c:pt>
                <c:pt idx="67">
                  <c:v>3.56199522503</c:v>
                </c:pt>
                <c:pt idx="68">
                  <c:v>3.90188931488</c:v>
                </c:pt>
                <c:pt idx="69">
                  <c:v>3.3445321023500001</c:v>
                </c:pt>
                <c:pt idx="70">
                  <c:v>3.2454775646299998</c:v>
                </c:pt>
                <c:pt idx="71">
                  <c:v>2.8526817914099998</c:v>
                </c:pt>
                <c:pt idx="72">
                  <c:v>2.60620936751</c:v>
                </c:pt>
                <c:pt idx="73">
                  <c:v>3.2375138253000002</c:v>
                </c:pt>
                <c:pt idx="74">
                  <c:v>3.2324206549699999</c:v>
                </c:pt>
                <c:pt idx="75">
                  <c:v>2.74235499091</c:v>
                </c:pt>
                <c:pt idx="76">
                  <c:v>2.2325722966299999</c:v>
                </c:pt>
                <c:pt idx="77">
                  <c:v>2.03938828781</c:v>
                </c:pt>
                <c:pt idx="78">
                  <c:v>4.0028821676999966</c:v>
                </c:pt>
                <c:pt idx="79">
                  <c:v>6.0838116332899981</c:v>
                </c:pt>
                <c:pt idx="80">
                  <c:v>7.4211880564699966</c:v>
                </c:pt>
                <c:pt idx="81">
                  <c:v>4.2756367474800001</c:v>
                </c:pt>
                <c:pt idx="82">
                  <c:v>2.1474952809499999</c:v>
                </c:pt>
                <c:pt idx="83">
                  <c:v>1.9431383116200001</c:v>
                </c:pt>
                <c:pt idx="84">
                  <c:v>1.92116922699</c:v>
                </c:pt>
                <c:pt idx="85">
                  <c:v>2.074886113409999</c:v>
                </c:pt>
                <c:pt idx="86">
                  <c:v>2.5253831408900012</c:v>
                </c:pt>
                <c:pt idx="87">
                  <c:v>3.6289405543400002</c:v>
                </c:pt>
                <c:pt idx="88">
                  <c:v>5.4698679596199966</c:v>
                </c:pt>
                <c:pt idx="89">
                  <c:v>6.8556596525</c:v>
                </c:pt>
                <c:pt idx="90">
                  <c:v>5.2262363024100003</c:v>
                </c:pt>
                <c:pt idx="91">
                  <c:v>4.1020093485699984</c:v>
                </c:pt>
                <c:pt idx="92">
                  <c:v>4.1878018528199963</c:v>
                </c:pt>
                <c:pt idx="93">
                  <c:v>3.8996816147099991</c:v>
                </c:pt>
                <c:pt idx="94">
                  <c:v>3.1726649030999989</c:v>
                </c:pt>
                <c:pt idx="95">
                  <c:v>3.2003615051500001</c:v>
                </c:pt>
                <c:pt idx="96">
                  <c:v>3.4497166052499999</c:v>
                </c:pt>
                <c:pt idx="97">
                  <c:v>3.1932040583300001</c:v>
                </c:pt>
                <c:pt idx="98">
                  <c:v>2.9057469219000001</c:v>
                </c:pt>
                <c:pt idx="99">
                  <c:v>2.7109682560000001</c:v>
                </c:pt>
                <c:pt idx="100">
                  <c:v>2.90623051114</c:v>
                </c:pt>
                <c:pt idx="101">
                  <c:v>3.41371772811</c:v>
                </c:pt>
                <c:pt idx="102">
                  <c:v>4.9691693857299999</c:v>
                </c:pt>
                <c:pt idx="103">
                  <c:v>6.9285468198399984</c:v>
                </c:pt>
                <c:pt idx="104">
                  <c:v>7.6558212749699974</c:v>
                </c:pt>
                <c:pt idx="105">
                  <c:v>5.5499132722600004</c:v>
                </c:pt>
                <c:pt idx="106">
                  <c:v>4.2693559080399979</c:v>
                </c:pt>
                <c:pt idx="107">
                  <c:v>4.4390526600200007</c:v>
                </c:pt>
                <c:pt idx="108">
                  <c:v>4.7832396812700004</c:v>
                </c:pt>
                <c:pt idx="109">
                  <c:v>5.3574177436499966</c:v>
                </c:pt>
                <c:pt idx="110">
                  <c:v>7.3026297614000004</c:v>
                </c:pt>
                <c:pt idx="111">
                  <c:v>8.9100394398000002</c:v>
                </c:pt>
                <c:pt idx="112">
                  <c:v>9.5830662176000008</c:v>
                </c:pt>
                <c:pt idx="113">
                  <c:v>12.9107814282</c:v>
                </c:pt>
                <c:pt idx="114">
                  <c:v>14.7463465109</c:v>
                </c:pt>
                <c:pt idx="115">
                  <c:v>12.7287367359</c:v>
                </c:pt>
                <c:pt idx="116">
                  <c:v>11.665564961699999</c:v>
                </c:pt>
                <c:pt idx="117">
                  <c:v>9.8069403320600053</c:v>
                </c:pt>
                <c:pt idx="118">
                  <c:v>9.1881603002499972</c:v>
                </c:pt>
                <c:pt idx="119">
                  <c:v>8.5377711802699956</c:v>
                </c:pt>
                <c:pt idx="120">
                  <c:v>7.58361117914</c:v>
                </c:pt>
                <c:pt idx="121">
                  <c:v>6.8384809419499968</c:v>
                </c:pt>
                <c:pt idx="122">
                  <c:v>6.4284284599100001</c:v>
                </c:pt>
                <c:pt idx="123">
                  <c:v>5.9614707715800002</c:v>
                </c:pt>
                <c:pt idx="124">
                  <c:v>5.6094741448800001</c:v>
                </c:pt>
                <c:pt idx="125">
                  <c:v>5.9473537839900033</c:v>
                </c:pt>
                <c:pt idx="126">
                  <c:v>8.0452654510699961</c:v>
                </c:pt>
                <c:pt idx="127">
                  <c:v>10.8641618863</c:v>
                </c:pt>
                <c:pt idx="128">
                  <c:v>14.357754029300001</c:v>
                </c:pt>
                <c:pt idx="129">
                  <c:v>13.913461938499999</c:v>
                </c:pt>
                <c:pt idx="130">
                  <c:v>12.476462870800001</c:v>
                </c:pt>
                <c:pt idx="131">
                  <c:v>11.504670605099999</c:v>
                </c:pt>
                <c:pt idx="132">
                  <c:v>10.005666874299999</c:v>
                </c:pt>
                <c:pt idx="133">
                  <c:v>5.73538336903</c:v>
                </c:pt>
                <c:pt idx="134">
                  <c:v>4.243088886139998</c:v>
                </c:pt>
                <c:pt idx="135">
                  <c:v>5.2855876274399973</c:v>
                </c:pt>
                <c:pt idx="136">
                  <c:v>8.1439912319200012</c:v>
                </c:pt>
                <c:pt idx="137">
                  <c:v>9.8389983177199998</c:v>
                </c:pt>
                <c:pt idx="138">
                  <c:v>12.045238167000001</c:v>
                </c:pt>
                <c:pt idx="139">
                  <c:v>12.8488726914</c:v>
                </c:pt>
                <c:pt idx="140">
                  <c:v>13.1811881438</c:v>
                </c:pt>
                <c:pt idx="141">
                  <c:v>11.265951208800001</c:v>
                </c:pt>
                <c:pt idx="142">
                  <c:v>11.502511799300001</c:v>
                </c:pt>
                <c:pt idx="143">
                  <c:v>12.089209631099999</c:v>
                </c:pt>
                <c:pt idx="144">
                  <c:v>10.172237642100001</c:v>
                </c:pt>
                <c:pt idx="145">
                  <c:v>6.9847386330399974</c:v>
                </c:pt>
                <c:pt idx="146">
                  <c:v>5.2673956379299973</c:v>
                </c:pt>
                <c:pt idx="147">
                  <c:v>3.1854405533499999</c:v>
                </c:pt>
                <c:pt idx="148">
                  <c:v>3.0157272703900002</c:v>
                </c:pt>
                <c:pt idx="149">
                  <c:v>3.8995482027500001</c:v>
                </c:pt>
                <c:pt idx="150">
                  <c:v>5.1086870953400014</c:v>
                </c:pt>
                <c:pt idx="151">
                  <c:v>4.942444618789998</c:v>
                </c:pt>
                <c:pt idx="152">
                  <c:v>4.2339893989299986</c:v>
                </c:pt>
                <c:pt idx="153">
                  <c:v>2.7447310276300012</c:v>
                </c:pt>
                <c:pt idx="154">
                  <c:v>1.55323068611</c:v>
                </c:pt>
                <c:pt idx="155">
                  <c:v>1.12388108391</c:v>
                </c:pt>
                <c:pt idx="156">
                  <c:v>0.86723174899800004</c:v>
                </c:pt>
                <c:pt idx="157">
                  <c:v>0.67611254053199998</c:v>
                </c:pt>
                <c:pt idx="158">
                  <c:v>0.81281189341100002</c:v>
                </c:pt>
                <c:pt idx="159">
                  <c:v>1.9076674943800001</c:v>
                </c:pt>
                <c:pt idx="160">
                  <c:v>4.4339266605700001</c:v>
                </c:pt>
                <c:pt idx="161">
                  <c:v>4.5270449481899959</c:v>
                </c:pt>
                <c:pt idx="162">
                  <c:v>3.6546736955600001</c:v>
                </c:pt>
                <c:pt idx="163">
                  <c:v>2.6557459495999991</c:v>
                </c:pt>
                <c:pt idx="164">
                  <c:v>2.47753947042</c:v>
                </c:pt>
                <c:pt idx="165">
                  <c:v>2.44883471169</c:v>
                </c:pt>
                <c:pt idx="166">
                  <c:v>3.3000379335099992</c:v>
                </c:pt>
                <c:pt idx="167">
                  <c:v>3.96777316928</c:v>
                </c:pt>
                <c:pt idx="168">
                  <c:v>3.437418490649998</c:v>
                </c:pt>
                <c:pt idx="169">
                  <c:v>2.2826520726099999</c:v>
                </c:pt>
                <c:pt idx="170">
                  <c:v>1.7117421375599999</c:v>
                </c:pt>
                <c:pt idx="171">
                  <c:v>1.5130994143000001</c:v>
                </c:pt>
                <c:pt idx="172">
                  <c:v>0.96118904184599996</c:v>
                </c:pt>
                <c:pt idx="173">
                  <c:v>0.85572776151800001</c:v>
                </c:pt>
                <c:pt idx="174">
                  <c:v>1.6356710111699999</c:v>
                </c:pt>
                <c:pt idx="175">
                  <c:v>3.2862233929300002</c:v>
                </c:pt>
                <c:pt idx="176">
                  <c:v>3.8704394828500002</c:v>
                </c:pt>
                <c:pt idx="177">
                  <c:v>1.2596618616999999</c:v>
                </c:pt>
                <c:pt idx="178">
                  <c:v>0.74761512223600002</c:v>
                </c:pt>
                <c:pt idx="179">
                  <c:v>0.74331532232499997</c:v>
                </c:pt>
                <c:pt idx="180">
                  <c:v>0.74925698572800004</c:v>
                </c:pt>
                <c:pt idx="181">
                  <c:v>0.86695293430200004</c:v>
                </c:pt>
                <c:pt idx="182">
                  <c:v>1.16274005268</c:v>
                </c:pt>
                <c:pt idx="183">
                  <c:v>2.3164870217399991</c:v>
                </c:pt>
                <c:pt idx="184">
                  <c:v>4.2467694729600032</c:v>
                </c:pt>
                <c:pt idx="185">
                  <c:v>5.6709065101999974</c:v>
                </c:pt>
                <c:pt idx="186">
                  <c:v>5.8071603998499981</c:v>
                </c:pt>
                <c:pt idx="187">
                  <c:v>4.5075975358499996</c:v>
                </c:pt>
                <c:pt idx="188">
                  <c:v>4.9548810347899996</c:v>
                </c:pt>
                <c:pt idx="189">
                  <c:v>1.58223020844</c:v>
                </c:pt>
                <c:pt idx="190">
                  <c:v>0.98976527806400005</c:v>
                </c:pt>
                <c:pt idx="191">
                  <c:v>1.8366649746899999</c:v>
                </c:pt>
                <c:pt idx="192">
                  <c:v>2.61046527885</c:v>
                </c:pt>
                <c:pt idx="193">
                  <c:v>3.0604298226500002</c:v>
                </c:pt>
                <c:pt idx="194">
                  <c:v>2.9194480739499982</c:v>
                </c:pt>
                <c:pt idx="195">
                  <c:v>3.5894541069899999</c:v>
                </c:pt>
                <c:pt idx="196">
                  <c:v>3.90563323162</c:v>
                </c:pt>
                <c:pt idx="197">
                  <c:v>4.9381568096599979</c:v>
                </c:pt>
                <c:pt idx="198">
                  <c:v>5.7086315937299998</c:v>
                </c:pt>
                <c:pt idx="199">
                  <c:v>5.3767301142199999</c:v>
                </c:pt>
                <c:pt idx="200">
                  <c:v>5.5067674256899997</c:v>
                </c:pt>
                <c:pt idx="201">
                  <c:v>4.8261671327100002</c:v>
                </c:pt>
                <c:pt idx="202">
                  <c:v>3.9571505039899999</c:v>
                </c:pt>
                <c:pt idx="203">
                  <c:v>3.3543810714000002</c:v>
                </c:pt>
                <c:pt idx="204">
                  <c:v>3.2598469406400001</c:v>
                </c:pt>
                <c:pt idx="205">
                  <c:v>2.9302858747499991</c:v>
                </c:pt>
                <c:pt idx="206">
                  <c:v>2.946472959589999</c:v>
                </c:pt>
                <c:pt idx="207">
                  <c:v>3.821622114629998</c:v>
                </c:pt>
                <c:pt idx="208">
                  <c:v>5.9323385357899996</c:v>
                </c:pt>
                <c:pt idx="209">
                  <c:v>5.4300441406699997</c:v>
                </c:pt>
                <c:pt idx="210">
                  <c:v>4.1905194520999984</c:v>
                </c:pt>
                <c:pt idx="211">
                  <c:v>4.0756934322399996</c:v>
                </c:pt>
                <c:pt idx="212">
                  <c:v>4.8144469037699977</c:v>
                </c:pt>
                <c:pt idx="213">
                  <c:v>4.8943180590899988</c:v>
                </c:pt>
                <c:pt idx="214">
                  <c:v>4.97365230694</c:v>
                </c:pt>
                <c:pt idx="215">
                  <c:v>4.4436505995699997</c:v>
                </c:pt>
                <c:pt idx="216">
                  <c:v>3.49653372541</c:v>
                </c:pt>
                <c:pt idx="217">
                  <c:v>3.2315712887800001</c:v>
                </c:pt>
                <c:pt idx="218">
                  <c:v>2.9507826548099998</c:v>
                </c:pt>
                <c:pt idx="219">
                  <c:v>2.9744086787100001</c:v>
                </c:pt>
                <c:pt idx="220">
                  <c:v>3.5848813131499999</c:v>
                </c:pt>
                <c:pt idx="221">
                  <c:v>4.1176751255999982</c:v>
                </c:pt>
                <c:pt idx="222">
                  <c:v>5.5819787085100003</c:v>
                </c:pt>
                <c:pt idx="223">
                  <c:v>8.6380820721400013</c:v>
                </c:pt>
                <c:pt idx="224">
                  <c:v>8.9160073548600032</c:v>
                </c:pt>
                <c:pt idx="225">
                  <c:v>6.510662846269998</c:v>
                </c:pt>
                <c:pt idx="226">
                  <c:v>3.86876380071</c:v>
                </c:pt>
                <c:pt idx="227">
                  <c:v>3.6071413196600002</c:v>
                </c:pt>
                <c:pt idx="228">
                  <c:v>3.4843471366899998</c:v>
                </c:pt>
                <c:pt idx="229">
                  <c:v>3.456601873039999</c:v>
                </c:pt>
                <c:pt idx="230">
                  <c:v>3.4301194827999999</c:v>
                </c:pt>
                <c:pt idx="231">
                  <c:v>4.1848947294099963</c:v>
                </c:pt>
                <c:pt idx="232">
                  <c:v>6.0172895900899981</c:v>
                </c:pt>
                <c:pt idx="233">
                  <c:v>8.1486981362099975</c:v>
                </c:pt>
                <c:pt idx="234">
                  <c:v>7.5173559598599988</c:v>
                </c:pt>
                <c:pt idx="235">
                  <c:v>6.4835078083000006</c:v>
                </c:pt>
                <c:pt idx="236">
                  <c:v>6.1752465553600002</c:v>
                </c:pt>
                <c:pt idx="237">
                  <c:v>5.1795933395599976</c:v>
                </c:pt>
                <c:pt idx="238">
                  <c:v>4.8919878900099967</c:v>
                </c:pt>
                <c:pt idx="239">
                  <c:v>4.5132050290699981</c:v>
                </c:pt>
              </c:numCache>
            </c:numRef>
          </c:val>
          <c:smooth val="0"/>
          <c:extLst>
            <c:ext xmlns:c16="http://schemas.microsoft.com/office/drawing/2014/chart" uri="{C3380CC4-5D6E-409C-BE32-E72D297353CC}">
              <c16:uniqueId val="{00000000-184E-4500-8CD4-BC363FB27237}"/>
            </c:ext>
          </c:extLst>
        </c:ser>
        <c:ser>
          <c:idx val="1"/>
          <c:order val="1"/>
          <c:tx>
            <c:strRef>
              <c:f>Ammonia!$D$2</c:f>
              <c:strCache>
                <c:ptCount val="1"/>
                <c:pt idx="0">
                  <c:v>Neil Armstrong Academy</c:v>
                </c:pt>
              </c:strCache>
            </c:strRef>
          </c:tx>
          <c:spPr>
            <a:ln w="3175" cap="sq">
              <a:solidFill>
                <a:sysClr val="windowText" lastClr="000000"/>
              </a:solidFill>
              <a:bevel/>
            </a:ln>
            <a:effectLst/>
          </c:spPr>
          <c:marker>
            <c:symbol val="circle"/>
            <c:size val="3"/>
            <c:spPr>
              <a:solidFill>
                <a:schemeClr val="tx1"/>
              </a:solidFill>
              <a:ln w="3175" cap="sq">
                <a:solidFill>
                  <a:sysClr val="windowText" lastClr="000000"/>
                </a:solidFill>
              </a:ln>
              <a:effectLst/>
            </c:spPr>
          </c:marker>
          <c:val>
            <c:numRef>
              <c:f>Ammonia!$D$3:$D$242</c:f>
              <c:numCache>
                <c:formatCode>0.00</c:formatCode>
                <c:ptCount val="240"/>
                <c:pt idx="0">
                  <c:v>4.0873321704599981</c:v>
                </c:pt>
                <c:pt idx="1">
                  <c:v>3.5849146079300001</c:v>
                </c:pt>
                <c:pt idx="2">
                  <c:v>3.2998402602999999</c:v>
                </c:pt>
                <c:pt idx="3">
                  <c:v>3.1047821976200001</c:v>
                </c:pt>
                <c:pt idx="4">
                  <c:v>3.1148721464000002</c:v>
                </c:pt>
                <c:pt idx="5">
                  <c:v>3.6140121519599999</c:v>
                </c:pt>
                <c:pt idx="6">
                  <c:v>3.9064912125500002</c:v>
                </c:pt>
                <c:pt idx="7">
                  <c:v>3.7769391201400002</c:v>
                </c:pt>
                <c:pt idx="8">
                  <c:v>3.0789785087100001</c:v>
                </c:pt>
                <c:pt idx="9">
                  <c:v>2.2553289309100002</c:v>
                </c:pt>
                <c:pt idx="10">
                  <c:v>1.5931385569300001</c:v>
                </c:pt>
                <c:pt idx="11">
                  <c:v>1.6270243795599999</c:v>
                </c:pt>
                <c:pt idx="12">
                  <c:v>1.7797119216999999</c:v>
                </c:pt>
                <c:pt idx="13">
                  <c:v>1.8501152517299999</c:v>
                </c:pt>
                <c:pt idx="14">
                  <c:v>2.0099624525799999</c:v>
                </c:pt>
                <c:pt idx="15">
                  <c:v>2.366662956769999</c:v>
                </c:pt>
                <c:pt idx="16">
                  <c:v>3.1500332988800008</c:v>
                </c:pt>
                <c:pt idx="17">
                  <c:v>4.309911280869998</c:v>
                </c:pt>
                <c:pt idx="18">
                  <c:v>5.4679750464899968</c:v>
                </c:pt>
                <c:pt idx="19">
                  <c:v>5.7803210802400002</c:v>
                </c:pt>
                <c:pt idx="20">
                  <c:v>5.7318517938299998</c:v>
                </c:pt>
                <c:pt idx="21">
                  <c:v>5.6979558430599937</c:v>
                </c:pt>
                <c:pt idx="22">
                  <c:v>5.7407333515600003</c:v>
                </c:pt>
                <c:pt idx="23">
                  <c:v>5.2887550555200002</c:v>
                </c:pt>
                <c:pt idx="24">
                  <c:v>4.9614701420100014</c:v>
                </c:pt>
                <c:pt idx="25">
                  <c:v>4.5403572730699979</c:v>
                </c:pt>
                <c:pt idx="26">
                  <c:v>4.5503792353000003</c:v>
                </c:pt>
                <c:pt idx="27">
                  <c:v>4.9845147877899967</c:v>
                </c:pt>
                <c:pt idx="28">
                  <c:v>5.27882808819</c:v>
                </c:pt>
                <c:pt idx="29">
                  <c:v>6.0361172072599967</c:v>
                </c:pt>
                <c:pt idx="30">
                  <c:v>7.5710578821600008</c:v>
                </c:pt>
                <c:pt idx="31">
                  <c:v>8.6583858355900034</c:v>
                </c:pt>
                <c:pt idx="32">
                  <c:v>9.9359452724500006</c:v>
                </c:pt>
                <c:pt idx="33">
                  <c:v>9.6313925460000007</c:v>
                </c:pt>
                <c:pt idx="34">
                  <c:v>4.8441137187199974</c:v>
                </c:pt>
                <c:pt idx="35">
                  <c:v>3.1722944695500002</c:v>
                </c:pt>
                <c:pt idx="36">
                  <c:v>2.7173440903400001</c:v>
                </c:pt>
                <c:pt idx="37">
                  <c:v>2.5423457846000002</c:v>
                </c:pt>
                <c:pt idx="38">
                  <c:v>2.8135927859700001</c:v>
                </c:pt>
                <c:pt idx="39">
                  <c:v>4.6062190085600001</c:v>
                </c:pt>
                <c:pt idx="40">
                  <c:v>5.3537054918700004</c:v>
                </c:pt>
                <c:pt idx="41">
                  <c:v>5.8502014726400002</c:v>
                </c:pt>
                <c:pt idx="42">
                  <c:v>5.9785251505700003</c:v>
                </c:pt>
                <c:pt idx="43">
                  <c:v>6.8712555803399997</c:v>
                </c:pt>
                <c:pt idx="44">
                  <c:v>6.9212997332199997</c:v>
                </c:pt>
                <c:pt idx="45">
                  <c:v>5.4980204440699998</c:v>
                </c:pt>
                <c:pt idx="46">
                  <c:v>5.2658310159999981</c:v>
                </c:pt>
                <c:pt idx="47">
                  <c:v>6.2684821896299976</c:v>
                </c:pt>
                <c:pt idx="48">
                  <c:v>7.3705781251200007</c:v>
                </c:pt>
                <c:pt idx="49">
                  <c:v>7.9508516937500007</c:v>
                </c:pt>
                <c:pt idx="50">
                  <c:v>6.7038009874499966</c:v>
                </c:pt>
                <c:pt idx="51">
                  <c:v>5.6440262123899974</c:v>
                </c:pt>
                <c:pt idx="52">
                  <c:v>5.333682056519998</c:v>
                </c:pt>
                <c:pt idx="53">
                  <c:v>4.4483081437600003</c:v>
                </c:pt>
                <c:pt idx="54">
                  <c:v>4.5706862583799968</c:v>
                </c:pt>
                <c:pt idx="55">
                  <c:v>5.8713164180499966</c:v>
                </c:pt>
                <c:pt idx="56">
                  <c:v>6.72501139343</c:v>
                </c:pt>
                <c:pt idx="57">
                  <c:v>5.1506292074900006</c:v>
                </c:pt>
                <c:pt idx="58">
                  <c:v>3.0721975490500002</c:v>
                </c:pt>
                <c:pt idx="59">
                  <c:v>0.95395348034799998</c:v>
                </c:pt>
                <c:pt idx="60">
                  <c:v>0.37292050547</c:v>
                </c:pt>
                <c:pt idx="61">
                  <c:v>0.41842405334999999</c:v>
                </c:pt>
                <c:pt idx="62">
                  <c:v>0.59093156596600005</c:v>
                </c:pt>
                <c:pt idx="63">
                  <c:v>1.7348714172799999</c:v>
                </c:pt>
                <c:pt idx="64">
                  <c:v>4.7578993253400004</c:v>
                </c:pt>
                <c:pt idx="65">
                  <c:v>6.06228969991</c:v>
                </c:pt>
                <c:pt idx="66">
                  <c:v>6.9834776222700006</c:v>
                </c:pt>
                <c:pt idx="67">
                  <c:v>7.2023291140800003</c:v>
                </c:pt>
                <c:pt idx="68">
                  <c:v>7.8742643818300007</c:v>
                </c:pt>
                <c:pt idx="69">
                  <c:v>8.2957316189999997</c:v>
                </c:pt>
                <c:pt idx="70">
                  <c:v>7.895276881750001</c:v>
                </c:pt>
                <c:pt idx="71">
                  <c:v>6.4153294078999998</c:v>
                </c:pt>
                <c:pt idx="72">
                  <c:v>4.9613267183299996</c:v>
                </c:pt>
                <c:pt idx="73">
                  <c:v>4.6415668912200001</c:v>
                </c:pt>
                <c:pt idx="74">
                  <c:v>4.4871983118400003</c:v>
                </c:pt>
                <c:pt idx="75">
                  <c:v>3.7252067122600012</c:v>
                </c:pt>
                <c:pt idx="76">
                  <c:v>3.5107398871300002</c:v>
                </c:pt>
                <c:pt idx="77">
                  <c:v>2.8749781195099979</c:v>
                </c:pt>
                <c:pt idx="78">
                  <c:v>3.2129155006299999</c:v>
                </c:pt>
                <c:pt idx="79">
                  <c:v>5.0955973565599963</c:v>
                </c:pt>
                <c:pt idx="80">
                  <c:v>7.3649827390899958</c:v>
                </c:pt>
                <c:pt idx="81">
                  <c:v>6.7165768705299973</c:v>
                </c:pt>
                <c:pt idx="82">
                  <c:v>2.3120595142199978</c:v>
                </c:pt>
                <c:pt idx="83">
                  <c:v>0.56462612701600001</c:v>
                </c:pt>
                <c:pt idx="84">
                  <c:v>0.48230364336600001</c:v>
                </c:pt>
                <c:pt idx="85">
                  <c:v>1.50869914796</c:v>
                </c:pt>
                <c:pt idx="86">
                  <c:v>2.1444996818900002</c:v>
                </c:pt>
                <c:pt idx="87">
                  <c:v>2.6012929156400002</c:v>
                </c:pt>
                <c:pt idx="88">
                  <c:v>4.1159871034299966</c:v>
                </c:pt>
                <c:pt idx="89">
                  <c:v>6.9100810214899981</c:v>
                </c:pt>
                <c:pt idx="90">
                  <c:v>7.9891877248900007</c:v>
                </c:pt>
                <c:pt idx="91">
                  <c:v>7.5621702708299958</c:v>
                </c:pt>
                <c:pt idx="92">
                  <c:v>6.5335780382199982</c:v>
                </c:pt>
                <c:pt idx="93">
                  <c:v>5.6631793267999964</c:v>
                </c:pt>
                <c:pt idx="94">
                  <c:v>5.4044835269499973</c:v>
                </c:pt>
                <c:pt idx="95">
                  <c:v>5.7401047088199997</c:v>
                </c:pt>
                <c:pt idx="96">
                  <c:v>5.766318179669998</c:v>
                </c:pt>
                <c:pt idx="97">
                  <c:v>5.7962965220200013</c:v>
                </c:pt>
                <c:pt idx="98">
                  <c:v>5.3565297275799981</c:v>
                </c:pt>
                <c:pt idx="99">
                  <c:v>5.4111341014500001</c:v>
                </c:pt>
                <c:pt idx="100">
                  <c:v>5.9816227294500033</c:v>
                </c:pt>
                <c:pt idx="101">
                  <c:v>6.3868025317799981</c:v>
                </c:pt>
                <c:pt idx="102">
                  <c:v>7.699124980719998</c:v>
                </c:pt>
                <c:pt idx="103">
                  <c:v>9.7419461235399982</c:v>
                </c:pt>
                <c:pt idx="104">
                  <c:v>10.969298891699999</c:v>
                </c:pt>
                <c:pt idx="105">
                  <c:v>9.5554646104599996</c:v>
                </c:pt>
                <c:pt idx="106">
                  <c:v>7.7510578557800001</c:v>
                </c:pt>
                <c:pt idx="107">
                  <c:v>3.7981946952600012</c:v>
                </c:pt>
                <c:pt idx="108">
                  <c:v>2.72698863409</c:v>
                </c:pt>
                <c:pt idx="109">
                  <c:v>2.7849595062399999</c:v>
                </c:pt>
                <c:pt idx="110">
                  <c:v>2.9548564925799981</c:v>
                </c:pt>
                <c:pt idx="111">
                  <c:v>4.0013780817400004</c:v>
                </c:pt>
                <c:pt idx="112">
                  <c:v>5.5727832950699998</c:v>
                </c:pt>
                <c:pt idx="113">
                  <c:v>9.1006346046900042</c:v>
                </c:pt>
                <c:pt idx="114">
                  <c:v>11.428934522</c:v>
                </c:pt>
                <c:pt idx="115">
                  <c:v>13.2716642693</c:v>
                </c:pt>
                <c:pt idx="116">
                  <c:v>14.024513773600001</c:v>
                </c:pt>
                <c:pt idx="117">
                  <c:v>13.134471140800001</c:v>
                </c:pt>
                <c:pt idx="118">
                  <c:v>11.5266023204</c:v>
                </c:pt>
                <c:pt idx="119">
                  <c:v>10.612170212000001</c:v>
                </c:pt>
                <c:pt idx="120">
                  <c:v>9.6011962741599994</c:v>
                </c:pt>
                <c:pt idx="121">
                  <c:v>8.6900321766700035</c:v>
                </c:pt>
                <c:pt idx="122">
                  <c:v>8.2345958799100014</c:v>
                </c:pt>
                <c:pt idx="123">
                  <c:v>7.5758444145299997</c:v>
                </c:pt>
                <c:pt idx="124">
                  <c:v>7.272721268239998</c:v>
                </c:pt>
                <c:pt idx="125">
                  <c:v>7.6765241101399981</c:v>
                </c:pt>
                <c:pt idx="126">
                  <c:v>9.0877357870300006</c:v>
                </c:pt>
                <c:pt idx="127">
                  <c:v>11.4614721388</c:v>
                </c:pt>
                <c:pt idx="128">
                  <c:v>12.772162444899999</c:v>
                </c:pt>
                <c:pt idx="129">
                  <c:v>10.5185694993</c:v>
                </c:pt>
                <c:pt idx="130">
                  <c:v>6.4895306713900007</c:v>
                </c:pt>
                <c:pt idx="131">
                  <c:v>3.52572160773</c:v>
                </c:pt>
                <c:pt idx="132">
                  <c:v>1.7604245804300001</c:v>
                </c:pt>
                <c:pt idx="133">
                  <c:v>1.5847102040400001</c:v>
                </c:pt>
                <c:pt idx="134">
                  <c:v>2.0648385398100002</c:v>
                </c:pt>
                <c:pt idx="135">
                  <c:v>3.4317891113500001</c:v>
                </c:pt>
                <c:pt idx="136">
                  <c:v>4.9490532837799996</c:v>
                </c:pt>
                <c:pt idx="137">
                  <c:v>7.217350881549998</c:v>
                </c:pt>
                <c:pt idx="138">
                  <c:v>7.942689582709999</c:v>
                </c:pt>
                <c:pt idx="139">
                  <c:v>7.9138856381199973</c:v>
                </c:pt>
                <c:pt idx="140">
                  <c:v>8.9752366766300078</c:v>
                </c:pt>
                <c:pt idx="141">
                  <c:v>9.2198029160500035</c:v>
                </c:pt>
                <c:pt idx="142">
                  <c:v>9.230949915950001</c:v>
                </c:pt>
                <c:pt idx="143">
                  <c:v>9.3845687806599987</c:v>
                </c:pt>
                <c:pt idx="144">
                  <c:v>9.5083788037299968</c:v>
                </c:pt>
                <c:pt idx="145">
                  <c:v>8.2338973879800008</c:v>
                </c:pt>
                <c:pt idx="146">
                  <c:v>5.77054731548</c:v>
                </c:pt>
                <c:pt idx="147">
                  <c:v>3.4605087712399998</c:v>
                </c:pt>
                <c:pt idx="148">
                  <c:v>1.5931637026400001</c:v>
                </c:pt>
                <c:pt idx="149">
                  <c:v>0.74437400326100001</c:v>
                </c:pt>
                <c:pt idx="150">
                  <c:v>1.485401997339999</c:v>
                </c:pt>
                <c:pt idx="151">
                  <c:v>3.5713929683000001</c:v>
                </c:pt>
                <c:pt idx="152">
                  <c:v>3.1779860146300001</c:v>
                </c:pt>
                <c:pt idx="153">
                  <c:v>0.65128784626699998</c:v>
                </c:pt>
                <c:pt idx="154">
                  <c:v>0.30778630753000003</c:v>
                </c:pt>
                <c:pt idx="155">
                  <c:v>0.24608828243799999</c:v>
                </c:pt>
                <c:pt idx="156">
                  <c:v>0.223848983296</c:v>
                </c:pt>
                <c:pt idx="157">
                  <c:v>0.28810818912500002</c:v>
                </c:pt>
                <c:pt idx="158">
                  <c:v>0.37376760155900002</c:v>
                </c:pt>
                <c:pt idx="159">
                  <c:v>0.54358859779299995</c:v>
                </c:pt>
                <c:pt idx="160">
                  <c:v>1.18529575411</c:v>
                </c:pt>
                <c:pt idx="161">
                  <c:v>1.72491848934</c:v>
                </c:pt>
                <c:pt idx="162">
                  <c:v>0.94574375543699996</c:v>
                </c:pt>
                <c:pt idx="163">
                  <c:v>1.81011797395</c:v>
                </c:pt>
                <c:pt idx="164">
                  <c:v>1.6934893792500001</c:v>
                </c:pt>
                <c:pt idx="165">
                  <c:v>2.2751586511699999</c:v>
                </c:pt>
                <c:pt idx="166">
                  <c:v>1.23923073988</c:v>
                </c:pt>
                <c:pt idx="167">
                  <c:v>0.55820355191799997</c:v>
                </c:pt>
                <c:pt idx="168">
                  <c:v>1.4373419107900001</c:v>
                </c:pt>
                <c:pt idx="169">
                  <c:v>2.2266749292600001</c:v>
                </c:pt>
                <c:pt idx="170">
                  <c:v>1.6276969108699999</c:v>
                </c:pt>
                <c:pt idx="171">
                  <c:v>0.601033330895</c:v>
                </c:pt>
                <c:pt idx="172">
                  <c:v>0.454859196907</c:v>
                </c:pt>
                <c:pt idx="173">
                  <c:v>0.59111247537699996</c:v>
                </c:pt>
                <c:pt idx="174">
                  <c:v>0.76234759762899995</c:v>
                </c:pt>
                <c:pt idx="175">
                  <c:v>0.91161573072900004</c:v>
                </c:pt>
                <c:pt idx="176">
                  <c:v>0.61201187781999999</c:v>
                </c:pt>
                <c:pt idx="177">
                  <c:v>0.42853970080600001</c:v>
                </c:pt>
                <c:pt idx="178">
                  <c:v>0.38453261368000002</c:v>
                </c:pt>
                <c:pt idx="179">
                  <c:v>0.28223791741799997</c:v>
                </c:pt>
                <c:pt idx="180">
                  <c:v>0.24786798166999999</c:v>
                </c:pt>
                <c:pt idx="181">
                  <c:v>0.242069465457</c:v>
                </c:pt>
                <c:pt idx="182">
                  <c:v>0.263550376985</c:v>
                </c:pt>
                <c:pt idx="183">
                  <c:v>0.418247887865</c:v>
                </c:pt>
                <c:pt idx="184">
                  <c:v>1.2640905333700001</c:v>
                </c:pt>
                <c:pt idx="185">
                  <c:v>3.4421070013200001</c:v>
                </c:pt>
                <c:pt idx="186">
                  <c:v>5.4080113768599967</c:v>
                </c:pt>
                <c:pt idx="187">
                  <c:v>5.6721689179499979</c:v>
                </c:pt>
                <c:pt idx="188">
                  <c:v>3.5518142394700001</c:v>
                </c:pt>
                <c:pt idx="189">
                  <c:v>1.19819911197</c:v>
                </c:pt>
                <c:pt idx="190">
                  <c:v>0.53577410290000005</c:v>
                </c:pt>
                <c:pt idx="191">
                  <c:v>1.46331300493</c:v>
                </c:pt>
                <c:pt idx="192">
                  <c:v>2.5413348339500001</c:v>
                </c:pt>
                <c:pt idx="193">
                  <c:v>2.3011933080899998</c:v>
                </c:pt>
                <c:pt idx="194">
                  <c:v>2.4572522379500001</c:v>
                </c:pt>
                <c:pt idx="195">
                  <c:v>2.8652818873500001</c:v>
                </c:pt>
                <c:pt idx="196">
                  <c:v>3.19167366251</c:v>
                </c:pt>
                <c:pt idx="197">
                  <c:v>3.872909117489999</c:v>
                </c:pt>
                <c:pt idx="198">
                  <c:v>4.8211729154</c:v>
                </c:pt>
                <c:pt idx="199">
                  <c:v>6.1635463498499989</c:v>
                </c:pt>
                <c:pt idx="200">
                  <c:v>7.1360212750700001</c:v>
                </c:pt>
                <c:pt idx="201">
                  <c:v>6.7782890982900001</c:v>
                </c:pt>
                <c:pt idx="202">
                  <c:v>4.4630402699099996</c:v>
                </c:pt>
                <c:pt idx="203">
                  <c:v>2.70885112695</c:v>
                </c:pt>
                <c:pt idx="204">
                  <c:v>1.9777293782700001</c:v>
                </c:pt>
                <c:pt idx="205">
                  <c:v>1.8046771874700001</c:v>
                </c:pt>
                <c:pt idx="206">
                  <c:v>1.80326681584</c:v>
                </c:pt>
                <c:pt idx="207">
                  <c:v>2.4515260011</c:v>
                </c:pt>
                <c:pt idx="208">
                  <c:v>4.9109379760899987</c:v>
                </c:pt>
                <c:pt idx="209">
                  <c:v>6.3654063269499961</c:v>
                </c:pt>
                <c:pt idx="210">
                  <c:v>5.94570999965</c:v>
                </c:pt>
                <c:pt idx="211">
                  <c:v>7.1835243143099996</c:v>
                </c:pt>
                <c:pt idx="212">
                  <c:v>7.6083815656599958</c:v>
                </c:pt>
                <c:pt idx="213">
                  <c:v>6.9508226588399982</c:v>
                </c:pt>
                <c:pt idx="214">
                  <c:v>6.42009312287</c:v>
                </c:pt>
                <c:pt idx="215">
                  <c:v>6.5214182250200006</c:v>
                </c:pt>
                <c:pt idx="216">
                  <c:v>6.1713242903400003</c:v>
                </c:pt>
                <c:pt idx="217">
                  <c:v>5.7412935420900002</c:v>
                </c:pt>
                <c:pt idx="218">
                  <c:v>4.4991793110999998</c:v>
                </c:pt>
                <c:pt idx="219">
                  <c:v>4.0120887570099963</c:v>
                </c:pt>
                <c:pt idx="220">
                  <c:v>4.4091842137299979</c:v>
                </c:pt>
                <c:pt idx="221">
                  <c:v>5.5107870139199981</c:v>
                </c:pt>
                <c:pt idx="222">
                  <c:v>6.3088377937699986</c:v>
                </c:pt>
                <c:pt idx="223">
                  <c:v>8.2222148776100035</c:v>
                </c:pt>
                <c:pt idx="224">
                  <c:v>8.82748421282</c:v>
                </c:pt>
                <c:pt idx="225">
                  <c:v>7.6182382181299957</c:v>
                </c:pt>
                <c:pt idx="226">
                  <c:v>3.9301174692799998</c:v>
                </c:pt>
                <c:pt idx="227">
                  <c:v>2.37636477686</c:v>
                </c:pt>
                <c:pt idx="228">
                  <c:v>2.2851766552799999</c:v>
                </c:pt>
                <c:pt idx="229">
                  <c:v>2.4202712811499998</c:v>
                </c:pt>
                <c:pt idx="230">
                  <c:v>2.79059680179</c:v>
                </c:pt>
                <c:pt idx="231">
                  <c:v>3.364845411849998</c:v>
                </c:pt>
                <c:pt idx="232">
                  <c:v>4.8882276751099996</c:v>
                </c:pt>
                <c:pt idx="233">
                  <c:v>6.3272644765699964</c:v>
                </c:pt>
                <c:pt idx="234">
                  <c:v>5.7867597788599996</c:v>
                </c:pt>
                <c:pt idx="235">
                  <c:v>5.6063770316500001</c:v>
                </c:pt>
                <c:pt idx="236">
                  <c:v>4.91881510243</c:v>
                </c:pt>
                <c:pt idx="237">
                  <c:v>4.2355214245599999</c:v>
                </c:pt>
                <c:pt idx="238">
                  <c:v>4.38152579591</c:v>
                </c:pt>
                <c:pt idx="239">
                  <c:v>4.3115289881800001</c:v>
                </c:pt>
              </c:numCache>
            </c:numRef>
          </c:val>
          <c:smooth val="0"/>
          <c:extLst>
            <c:ext xmlns:c16="http://schemas.microsoft.com/office/drawing/2014/chart" uri="{C3380CC4-5D6E-409C-BE32-E72D297353CC}">
              <c16:uniqueId val="{00000001-184E-4500-8CD4-BC363FB27237}"/>
            </c:ext>
          </c:extLst>
        </c:ser>
        <c:dLbls>
          <c:showLegendKey val="0"/>
          <c:showVal val="0"/>
          <c:showCatName val="0"/>
          <c:showSerName val="0"/>
          <c:showPercent val="0"/>
          <c:showBubbleSize val="0"/>
        </c:dLbls>
        <c:marker val="1"/>
        <c:smooth val="0"/>
        <c:axId val="-965035888"/>
        <c:axId val="-965034528"/>
      </c:lineChart>
      <c:catAx>
        <c:axId val="-965035888"/>
        <c:scaling>
          <c:orientation val="minMax"/>
        </c:scaling>
        <c:delete val="0"/>
        <c:axPos val="b"/>
        <c:majorGridlines>
          <c:spPr>
            <a:ln w="317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034528"/>
        <c:crosses val="autoZero"/>
        <c:auto val="1"/>
        <c:lblAlgn val="ctr"/>
        <c:lblOffset val="100"/>
        <c:noMultiLvlLbl val="0"/>
      </c:catAx>
      <c:valAx>
        <c:axId val="-965034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NH3 concentration (ppb)</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035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Hawthorne</a:t>
            </a:r>
          </a:p>
          <a:p>
            <a:pPr>
              <a:defRPr sz="1000"/>
            </a:pPr>
            <a:r>
              <a:rPr lang="en-US" sz="1000"/>
              <a:t>January 07</a:t>
            </a:r>
            <a:r>
              <a:rPr lang="en-US" sz="1000" baseline="0"/>
              <a:t> 2011</a:t>
            </a:r>
          </a:p>
          <a:p>
            <a:pPr>
              <a:defRPr sz="1000"/>
            </a:pPr>
            <a:r>
              <a:rPr lang="en-US" sz="1000" baseline="0"/>
              <a:t>Measured PM2.5 = 61.8 µg/m</a:t>
            </a:r>
            <a:r>
              <a:rPr lang="en-US" sz="1000" baseline="30000"/>
              <a:t>3</a:t>
            </a:r>
            <a:r>
              <a:rPr lang="en-US" sz="1000" baseline="0"/>
              <a:t> </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3B-4326-B579-AE7C08532A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3B-4326-B579-AE7C08532A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3B-4326-B579-AE7C08532AB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33B-4326-B579-AE7C08532AB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33B-4326-B579-AE7C08532AB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33B-4326-B579-AE7C08532AB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33B-4326-B579-AE7C08532AB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33B-4326-B579-AE7C08532AB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33B-4326-B579-AE7C08532AB8}"/>
              </c:ext>
            </c:extLst>
          </c:dPt>
          <c:dLbls>
            <c:dLbl>
              <c:idx val="1"/>
              <c:layout>
                <c:manualLayout>
                  <c:x val="5.2946935060536798E-2"/>
                  <c:y val="-0.1157882378673250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33B-4326-B579-AE7C08532AB8}"/>
                </c:ext>
              </c:extLst>
            </c:dLbl>
            <c:dLbl>
              <c:idx val="2"/>
              <c:layout>
                <c:manualLayout>
                  <c:x val="-1.813684747739866E-2"/>
                  <c:y val="-5.933569827209107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33B-4326-B579-AE7C08532AB8}"/>
                </c:ext>
              </c:extLst>
            </c:dLbl>
            <c:dLbl>
              <c:idx val="4"/>
              <c:layout>
                <c:manualLayout>
                  <c:x val="-1.2023749047498099E-2"/>
                  <c:y val="0.3477651690597500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33B-4326-B579-AE7C08532AB8}"/>
                </c:ext>
              </c:extLst>
            </c:dLbl>
            <c:dLbl>
              <c:idx val="5"/>
              <c:layout>
                <c:manualLayout>
                  <c:x val="-7.2813478960291297E-4"/>
                  <c:y val="-8.76013200555813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33B-4326-B579-AE7C08532AB8}"/>
                </c:ext>
              </c:extLst>
            </c:dLbl>
            <c:dLbl>
              <c:idx val="6"/>
              <c:layout>
                <c:manualLayout>
                  <c:x val="3.7075254706065001E-3"/>
                  <c:y val="0.10512582985950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33B-4326-B579-AE7C08532AB8}"/>
                </c:ext>
              </c:extLst>
            </c:dLbl>
            <c:dLbl>
              <c:idx val="7"/>
              <c:layout>
                <c:manualLayout>
                  <c:x val="4.9526042107639799E-2"/>
                  <c:y val="-0.1719507488034580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33B-4326-B579-AE7C08532AB8}"/>
                </c:ext>
              </c:extLst>
            </c:dLbl>
            <c:dLbl>
              <c:idx val="8"/>
              <c:layout>
                <c:manualLayout>
                  <c:x val="0.168277982389298"/>
                  <c:y val="0.1816906618290360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33B-4326-B579-AE7C08532AB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MPE_SLProvo!$BG$2:$BO$2</c:f>
              <c:strCache>
                <c:ptCount val="9"/>
                <c:pt idx="0">
                  <c:v>NO3</c:v>
                </c:pt>
                <c:pt idx="1">
                  <c:v>NH4</c:v>
                </c:pt>
                <c:pt idx="2">
                  <c:v>SO4</c:v>
                </c:pt>
                <c:pt idx="3">
                  <c:v>OC</c:v>
                </c:pt>
                <c:pt idx="4">
                  <c:v>EC</c:v>
                </c:pt>
                <c:pt idx="5">
                  <c:v>Crustal Material</c:v>
                </c:pt>
                <c:pt idx="6">
                  <c:v>Na</c:v>
                </c:pt>
                <c:pt idx="7">
                  <c:v>Cl</c:v>
                </c:pt>
                <c:pt idx="8">
                  <c:v>Other mass</c:v>
                </c:pt>
              </c:strCache>
            </c:strRef>
          </c:cat>
          <c:val>
            <c:numRef>
              <c:f>MPE_SLProvo!$BG$5:$BO$5</c:f>
              <c:numCache>
                <c:formatCode>0.00</c:formatCode>
                <c:ptCount val="9"/>
                <c:pt idx="0">
                  <c:v>25.4</c:v>
                </c:pt>
                <c:pt idx="1">
                  <c:v>11.8</c:v>
                </c:pt>
                <c:pt idx="2">
                  <c:v>5.59</c:v>
                </c:pt>
                <c:pt idx="3">
                  <c:v>5.3999999999999986</c:v>
                </c:pt>
                <c:pt idx="4">
                  <c:v>0.92700000000000005</c:v>
                </c:pt>
                <c:pt idx="5">
                  <c:v>1.1060904</c:v>
                </c:pt>
                <c:pt idx="6">
                  <c:v>3.0700000000000002E-2</c:v>
                </c:pt>
                <c:pt idx="7">
                  <c:v>2.5099999999999998</c:v>
                </c:pt>
                <c:pt idx="8">
                  <c:v>9.0362095999999958</c:v>
                </c:pt>
              </c:numCache>
            </c:numRef>
          </c:val>
          <c:extLst>
            <c:ext xmlns:c16="http://schemas.microsoft.com/office/drawing/2014/chart" uri="{C3380CC4-5D6E-409C-BE32-E72D297353CC}">
              <c16:uniqueId val="{00000012-433B-4326-B579-AE7C08532AB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Hawthorne</a:t>
            </a:r>
          </a:p>
          <a:p>
            <a:pPr>
              <a:defRPr sz="1000"/>
            </a:pPr>
            <a:r>
              <a:rPr lang="en-US" sz="1000"/>
              <a:t>January 07</a:t>
            </a:r>
            <a:r>
              <a:rPr lang="en-US" sz="1000" baseline="0"/>
              <a:t> 2011</a:t>
            </a:r>
          </a:p>
          <a:p>
            <a:pPr>
              <a:defRPr sz="1000"/>
            </a:pPr>
            <a:r>
              <a:rPr lang="en-US" sz="1000" baseline="0"/>
              <a:t>Modeled PM2.5 = 51.4 µg/m</a:t>
            </a:r>
            <a:r>
              <a:rPr lang="en-US" sz="1000" baseline="30000"/>
              <a:t>3</a:t>
            </a:r>
            <a:r>
              <a:rPr lang="en-US" sz="1000" baseline="0"/>
              <a:t> </a:t>
            </a:r>
            <a:endParaRPr lang="en-US" sz="1000"/>
          </a:p>
        </c:rich>
      </c:tx>
      <c:layout>
        <c:manualLayout>
          <c:xMode val="edge"/>
          <c:yMode val="edge"/>
          <c:x val="0.22778907844852728"/>
          <c:y val="2.604166666666666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817-4E3D-9085-432662279B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17-4E3D-9085-432662279B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17-4E3D-9085-432662279BD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817-4E3D-9085-432662279BD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817-4E3D-9085-432662279BD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817-4E3D-9085-432662279BD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817-4E3D-9085-432662279BD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817-4E3D-9085-432662279BD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817-4E3D-9085-432662279BD0}"/>
              </c:ext>
            </c:extLst>
          </c:dPt>
          <c:dLbls>
            <c:dLbl>
              <c:idx val="3"/>
              <c:layout>
                <c:manualLayout>
                  <c:x val="0.18105967600824099"/>
                  <c:y val="-1.760942566002780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817-4E3D-9085-432662279BD0}"/>
                </c:ext>
              </c:extLst>
            </c:dLbl>
            <c:dLbl>
              <c:idx val="4"/>
              <c:layout>
                <c:manualLayout>
                  <c:x val="-8.0957276173811613E-2"/>
                  <c:y val="0.2690415162948381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817-4E3D-9085-432662279BD0}"/>
                </c:ext>
              </c:extLst>
            </c:dLbl>
            <c:dLbl>
              <c:idx val="5"/>
              <c:layout>
                <c:manualLayout>
                  <c:x val="-4.6096165062700499E-2"/>
                  <c:y val="0.15946522309711286"/>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817-4E3D-9085-432662279BD0}"/>
                </c:ext>
              </c:extLst>
            </c:dLbl>
            <c:dLbl>
              <c:idx val="6"/>
              <c:layout>
                <c:manualLayout>
                  <c:x val="-0.10466790609507146"/>
                  <c:y val="1.523745078740153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817-4E3D-9085-432662279BD0}"/>
                </c:ext>
              </c:extLst>
            </c:dLbl>
            <c:dLbl>
              <c:idx val="7"/>
              <c:layout>
                <c:manualLayout>
                  <c:x val="0.18032516768737242"/>
                  <c:y val="-5.655621172353459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817-4E3D-9085-432662279BD0}"/>
                </c:ext>
              </c:extLst>
            </c:dLbl>
            <c:dLbl>
              <c:idx val="8"/>
              <c:layout>
                <c:manualLayout>
                  <c:x val="-0.22874763050452027"/>
                  <c:y val="-2.593503937007873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7817-4E3D-9085-432662279B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MPE_SLProvo!$BG$2:$BO$2</c:f>
              <c:strCache>
                <c:ptCount val="9"/>
                <c:pt idx="0">
                  <c:v>NO3</c:v>
                </c:pt>
                <c:pt idx="1">
                  <c:v>NH4</c:v>
                </c:pt>
                <c:pt idx="2">
                  <c:v>SO4</c:v>
                </c:pt>
                <c:pt idx="3">
                  <c:v>OC</c:v>
                </c:pt>
                <c:pt idx="4">
                  <c:v>EC</c:v>
                </c:pt>
                <c:pt idx="5">
                  <c:v>Crustal Material</c:v>
                </c:pt>
                <c:pt idx="6">
                  <c:v>Na</c:v>
                </c:pt>
                <c:pt idx="7">
                  <c:v>Cl</c:v>
                </c:pt>
                <c:pt idx="8">
                  <c:v>Other mass</c:v>
                </c:pt>
              </c:strCache>
            </c:strRef>
          </c:cat>
          <c:val>
            <c:numRef>
              <c:f>MPE_SLProvo!$BG$28:$BO$28</c:f>
              <c:numCache>
                <c:formatCode>0.0</c:formatCode>
                <c:ptCount val="9"/>
                <c:pt idx="0">
                  <c:v>21.64558100699999</c:v>
                </c:pt>
                <c:pt idx="1">
                  <c:v>7.8447297811504164</c:v>
                </c:pt>
                <c:pt idx="2">
                  <c:v>4.1381277441983331</c:v>
                </c:pt>
                <c:pt idx="3">
                  <c:v>5.4275655423756488</c:v>
                </c:pt>
                <c:pt idx="4">
                  <c:v>3.9344098965329182</c:v>
                </c:pt>
                <c:pt idx="5">
                  <c:v>2.0596242447687501</c:v>
                </c:pt>
                <c:pt idx="6">
                  <c:v>0.159419070929333</c:v>
                </c:pt>
                <c:pt idx="7">
                  <c:v>0.49977677377558299</c:v>
                </c:pt>
                <c:pt idx="8">
                  <c:v>5.6613442095023476</c:v>
                </c:pt>
              </c:numCache>
            </c:numRef>
          </c:val>
          <c:extLst>
            <c:ext xmlns:c16="http://schemas.microsoft.com/office/drawing/2014/chart" uri="{C3380CC4-5D6E-409C-BE32-E72D297353CC}">
              <c16:uniqueId val="{00000012-7817-4E3D-9085-432662279BD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pPr>
            <a:r>
              <a:rPr lang="en-US" sz="1000" b="0"/>
              <a:t>Hawthorne</a:t>
            </a:r>
          </a:p>
        </c:rich>
      </c:tx>
      <c:overlay val="0"/>
    </c:title>
    <c:autoTitleDeleted val="0"/>
    <c:plotArea>
      <c:layout/>
      <c:lineChart>
        <c:grouping val="standard"/>
        <c:varyColors val="0"/>
        <c:ser>
          <c:idx val="0"/>
          <c:order val="0"/>
          <c:tx>
            <c:v>Measured</c:v>
          </c:tx>
          <c:spPr>
            <a:ln w="19050">
              <a:solidFill>
                <a:schemeClr val="tx1"/>
              </a:solidFill>
            </a:ln>
          </c:spPr>
          <c:marker>
            <c:spPr>
              <a:solidFill>
                <a:schemeClr val="tx1"/>
              </a:solidFill>
              <a:ln w="19050" cap="rnd">
                <a:solidFill>
                  <a:schemeClr val="tx1"/>
                </a:solidFill>
              </a:ln>
            </c:spPr>
          </c:marker>
          <c:cat>
            <c:multiLvlStrRef>
              <c:f>dec2013_15nov!$AZ$4:$BA$17</c:f>
              <c:multiLvlStrCache>
                <c:ptCount val="14"/>
                <c:lvl>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lvl>
                <c:lvl>
                  <c:pt idx="0">
                    <c:v>December 2013</c:v>
                  </c:pt>
                </c:lvl>
              </c:multiLvlStrCache>
            </c:multiLvlStrRef>
          </c:cat>
          <c:val>
            <c:numRef>
              <c:f>dec2013_15nov!$BD$4:$BD$16</c:f>
              <c:numCache>
                <c:formatCode>General</c:formatCode>
                <c:ptCount val="13"/>
                <c:pt idx="0">
                  <c:v>7.3</c:v>
                </c:pt>
                <c:pt idx="1">
                  <c:v>7.1</c:v>
                </c:pt>
                <c:pt idx="2">
                  <c:v>11.4</c:v>
                </c:pt>
                <c:pt idx="3">
                  <c:v>19.899999999999999</c:v>
                </c:pt>
                <c:pt idx="4">
                  <c:v>37.200000000000003</c:v>
                </c:pt>
                <c:pt idx="5">
                  <c:v>51.8</c:v>
                </c:pt>
                <c:pt idx="6">
                  <c:v>61.3</c:v>
                </c:pt>
                <c:pt idx="7">
                  <c:v>60.7</c:v>
                </c:pt>
                <c:pt idx="8">
                  <c:v>61.6</c:v>
                </c:pt>
                <c:pt idx="9">
                  <c:v>51</c:v>
                </c:pt>
                <c:pt idx="10">
                  <c:v>50.8</c:v>
                </c:pt>
                <c:pt idx="11">
                  <c:v>44</c:v>
                </c:pt>
                <c:pt idx="12">
                  <c:v>19.5</c:v>
                </c:pt>
              </c:numCache>
            </c:numRef>
          </c:val>
          <c:smooth val="0"/>
          <c:extLst>
            <c:ext xmlns:c16="http://schemas.microsoft.com/office/drawing/2014/chart" uri="{C3380CC4-5D6E-409C-BE32-E72D297353CC}">
              <c16:uniqueId val="{00000000-EC5F-4ED2-A78C-524672EC979E}"/>
            </c:ext>
          </c:extLst>
        </c:ser>
        <c:ser>
          <c:idx val="1"/>
          <c:order val="1"/>
          <c:tx>
            <c:v>Modeled</c:v>
          </c:tx>
          <c:spPr>
            <a:ln w="19050">
              <a:solidFill>
                <a:schemeClr val="tx1"/>
              </a:solidFill>
              <a:prstDash val="dash"/>
            </a:ln>
          </c:spPr>
          <c:marker>
            <c:spPr>
              <a:solidFill>
                <a:schemeClr val="tx1"/>
              </a:solidFill>
              <a:ln w="19050" cap="rnd">
                <a:solidFill>
                  <a:schemeClr val="tx1"/>
                </a:solidFill>
                <a:prstDash val="dash"/>
              </a:ln>
            </c:spPr>
          </c:marker>
          <c:cat>
            <c:multiLvlStrRef>
              <c:f>dec2013_15nov!$AZ$4:$BA$17</c:f>
              <c:multiLvlStrCache>
                <c:ptCount val="14"/>
                <c:lvl>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lvl>
                <c:lvl>
                  <c:pt idx="0">
                    <c:v>December 2013</c:v>
                  </c:pt>
                </c:lvl>
              </c:multiLvlStrCache>
            </c:multiLvlStrRef>
          </c:cat>
          <c:val>
            <c:numRef>
              <c:f>dec2013_15nov!$BD$24:$BD$36</c:f>
              <c:numCache>
                <c:formatCode>0.0</c:formatCode>
                <c:ptCount val="13"/>
                <c:pt idx="0">
                  <c:v>13.766034538208748</c:v>
                </c:pt>
                <c:pt idx="1">
                  <c:v>20.987569482195834</c:v>
                </c:pt>
                <c:pt idx="2">
                  <c:v>18.372797040829166</c:v>
                </c:pt>
                <c:pt idx="3">
                  <c:v>21.700950873560839</c:v>
                </c:pt>
                <c:pt idx="4">
                  <c:v>44.730953123187497</c:v>
                </c:pt>
                <c:pt idx="5">
                  <c:v>51.233389226612502</c:v>
                </c:pt>
                <c:pt idx="6">
                  <c:v>44.229044554108349</c:v>
                </c:pt>
                <c:pt idx="7">
                  <c:v>29.002294273470824</c:v>
                </c:pt>
                <c:pt idx="8">
                  <c:v>28.6801312848125</c:v>
                </c:pt>
                <c:pt idx="9">
                  <c:v>40.847386998975004</c:v>
                </c:pt>
                <c:pt idx="10">
                  <c:v>40.593947283408333</c:v>
                </c:pt>
                <c:pt idx="11">
                  <c:v>25.288615559288331</c:v>
                </c:pt>
                <c:pt idx="12">
                  <c:v>16.001598766965415</c:v>
                </c:pt>
              </c:numCache>
            </c:numRef>
          </c:val>
          <c:smooth val="0"/>
          <c:extLst>
            <c:ext xmlns:c16="http://schemas.microsoft.com/office/drawing/2014/chart" uri="{C3380CC4-5D6E-409C-BE32-E72D297353CC}">
              <c16:uniqueId val="{00000001-EC5F-4ED2-A78C-524672EC979E}"/>
            </c:ext>
          </c:extLst>
        </c:ser>
        <c:dLbls>
          <c:showLegendKey val="0"/>
          <c:showVal val="0"/>
          <c:showCatName val="0"/>
          <c:showSerName val="0"/>
          <c:showPercent val="0"/>
          <c:showBubbleSize val="0"/>
        </c:dLbls>
        <c:marker val="1"/>
        <c:smooth val="0"/>
        <c:axId val="59084368"/>
        <c:axId val="58780384"/>
      </c:lineChart>
      <c:catAx>
        <c:axId val="59084368"/>
        <c:scaling>
          <c:orientation val="minMax"/>
        </c:scaling>
        <c:delete val="0"/>
        <c:axPos val="b"/>
        <c:minorGridlines>
          <c:spPr>
            <a:ln>
              <a:solidFill>
                <a:srgbClr val="D9D9D9"/>
              </a:solidFill>
            </a:ln>
          </c:spPr>
        </c:minorGridlines>
        <c:numFmt formatCode="General" sourceLinked="0"/>
        <c:majorTickMark val="out"/>
        <c:minorTickMark val="none"/>
        <c:tickLblPos val="nextTo"/>
        <c:txPr>
          <a:bodyPr/>
          <a:lstStyle/>
          <a:p>
            <a:pPr>
              <a:defRPr sz="900"/>
            </a:pPr>
            <a:endParaRPr lang="en-US"/>
          </a:p>
        </c:txPr>
        <c:crossAx val="58780384"/>
        <c:crosses val="autoZero"/>
        <c:auto val="1"/>
        <c:lblAlgn val="ctr"/>
        <c:lblOffset val="100"/>
        <c:noMultiLvlLbl val="0"/>
      </c:catAx>
      <c:valAx>
        <c:axId val="58780384"/>
        <c:scaling>
          <c:orientation val="minMax"/>
        </c:scaling>
        <c:delete val="0"/>
        <c:axPos val="l"/>
        <c:majorGridlines/>
        <c:title>
          <c:tx>
            <c:rich>
              <a:bodyPr rot="-5400000" vert="horz"/>
              <a:lstStyle/>
              <a:p>
                <a:pPr>
                  <a:defRPr sz="900"/>
                </a:pPr>
                <a:r>
                  <a:rPr lang="en-US" sz="900"/>
                  <a:t>24-hr</a:t>
                </a:r>
                <a:r>
                  <a:rPr lang="en-US" sz="900" baseline="0"/>
                  <a:t> PM2.5 c</a:t>
                </a:r>
                <a:r>
                  <a:rPr lang="en-US" sz="900"/>
                  <a:t>oncentration (µg/m</a:t>
                </a:r>
                <a:r>
                  <a:rPr lang="en-US" sz="900" baseline="30000"/>
                  <a:t>3</a:t>
                </a:r>
                <a:r>
                  <a:rPr lang="en-US" sz="900"/>
                  <a:t>)</a:t>
                </a:r>
              </a:p>
            </c:rich>
          </c:tx>
          <c:layout>
            <c:manualLayout>
              <c:xMode val="edge"/>
              <c:yMode val="edge"/>
              <c:x val="2.9556722076407117E-2"/>
              <c:y val="0.19554508811398572"/>
            </c:manualLayout>
          </c:layout>
          <c:overlay val="0"/>
        </c:title>
        <c:numFmt formatCode="General" sourceLinked="1"/>
        <c:majorTickMark val="out"/>
        <c:minorTickMark val="none"/>
        <c:tickLblPos val="nextTo"/>
        <c:txPr>
          <a:bodyPr/>
          <a:lstStyle/>
          <a:p>
            <a:pPr>
              <a:defRPr sz="900"/>
            </a:pPr>
            <a:endParaRPr lang="en-US"/>
          </a:p>
        </c:txPr>
        <c:crossAx val="59084368"/>
        <c:crosses val="autoZero"/>
        <c:crossBetween val="between"/>
      </c:valAx>
    </c:plotArea>
    <c:legend>
      <c:legendPos val="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Hawthorne</a:t>
            </a:r>
          </a:p>
          <a:p>
            <a:pPr>
              <a:defRPr sz="1000"/>
            </a:pPr>
            <a:r>
              <a:rPr lang="en-US" sz="1000"/>
              <a:t>December 15 2013</a:t>
            </a:r>
          </a:p>
          <a:p>
            <a:pPr>
              <a:defRPr sz="1000"/>
            </a:pPr>
            <a:r>
              <a:rPr lang="en-US" sz="1000"/>
              <a:t>PM2.5 measured = 54.5 µg/m</a:t>
            </a:r>
            <a:r>
              <a:rPr lang="en-US" sz="1000" baseline="30000"/>
              <a:t>3</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211395450568682"/>
          <c:y val="0.20859515722299415"/>
          <c:w val="0.70503171478565174"/>
          <c:h val="0.6220868071638103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80D-4262-84FF-D032D327E23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0D-4262-84FF-D032D327E23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0D-4262-84FF-D032D327E23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80D-4262-84FF-D032D327E23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80D-4262-84FF-D032D327E23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80D-4262-84FF-D032D327E23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80D-4262-84FF-D032D327E23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80D-4262-84FF-D032D327E23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80D-4262-84FF-D032D327E231}"/>
              </c:ext>
            </c:extLst>
          </c:dPt>
          <c:dLbls>
            <c:dLbl>
              <c:idx val="2"/>
              <c:layout>
                <c:manualLayout>
                  <c:x val="3.3115339749198017E-2"/>
                  <c:y val="3.188429571303587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80D-4262-84FF-D032D327E231}"/>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6="http://schemas.microsoft.com/office/drawing/2014/chart" uri="{C3380CC4-5D6E-409C-BE32-E72D297353CC}">
                  <c16:uniqueId val="{0000000D-780D-4262-84FF-D032D327E2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dec2013_15nov!$CC$1:$CK$1</c:f>
              <c:strCache>
                <c:ptCount val="9"/>
                <c:pt idx="0">
                  <c:v>NO3</c:v>
                </c:pt>
                <c:pt idx="1">
                  <c:v>NH4</c:v>
                </c:pt>
                <c:pt idx="2">
                  <c:v>SO4</c:v>
                </c:pt>
                <c:pt idx="3">
                  <c:v>OC</c:v>
                </c:pt>
                <c:pt idx="4">
                  <c:v>EC</c:v>
                </c:pt>
                <c:pt idx="5">
                  <c:v>Crustal Material</c:v>
                </c:pt>
                <c:pt idx="6">
                  <c:v>Na</c:v>
                </c:pt>
                <c:pt idx="7">
                  <c:v>Cl </c:v>
                </c:pt>
                <c:pt idx="8">
                  <c:v>Other Mass</c:v>
                </c:pt>
              </c:strCache>
            </c:strRef>
          </c:cat>
          <c:val>
            <c:numRef>
              <c:f>dec2013_15nov!$CC$10:$CK$10</c:f>
              <c:numCache>
                <c:formatCode>0.0</c:formatCode>
                <c:ptCount val="9"/>
                <c:pt idx="0">
                  <c:v>22.6</c:v>
                </c:pt>
                <c:pt idx="1">
                  <c:v>9.4600000000000009</c:v>
                </c:pt>
                <c:pt idx="2">
                  <c:v>2.12</c:v>
                </c:pt>
                <c:pt idx="3">
                  <c:v>4.51</c:v>
                </c:pt>
                <c:pt idx="4">
                  <c:v>1.59</c:v>
                </c:pt>
                <c:pt idx="5">
                  <c:v>1.1782561999999999</c:v>
                </c:pt>
                <c:pt idx="6">
                  <c:v>0.13</c:v>
                </c:pt>
                <c:pt idx="7">
                  <c:v>3.57</c:v>
                </c:pt>
                <c:pt idx="8">
                  <c:v>9.3417437999999962</c:v>
                </c:pt>
              </c:numCache>
            </c:numRef>
          </c:val>
          <c:extLst>
            <c:ext xmlns:c16="http://schemas.microsoft.com/office/drawing/2014/chart" uri="{C3380CC4-5D6E-409C-BE32-E72D297353CC}">
              <c16:uniqueId val="{00000012-780D-4262-84FF-D032D327E23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Hawthorne</a:t>
            </a:r>
          </a:p>
          <a:p>
            <a:pPr>
              <a:defRPr sz="1000"/>
            </a:pPr>
            <a:r>
              <a:rPr lang="en-US" sz="1000"/>
              <a:t>December 15 2013</a:t>
            </a:r>
          </a:p>
          <a:p>
            <a:pPr>
              <a:defRPr sz="1000"/>
            </a:pPr>
            <a:r>
              <a:rPr lang="en-US" sz="1000"/>
              <a:t>PM2.5 modeled = 39.6 µg/m</a:t>
            </a:r>
            <a:r>
              <a:rPr lang="en-US" sz="1000" baseline="30000"/>
              <a:t>3</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59543598716828"/>
          <c:y val="0.2045101899027327"/>
          <c:w val="0.70503171478565174"/>
          <c:h val="0.6220868071638103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07-4B70-93AC-532BC65AD4A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E07-4B70-93AC-532BC65AD4A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E07-4B70-93AC-532BC65AD4A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E07-4B70-93AC-532BC65AD4A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E07-4B70-93AC-532BC65AD4A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E07-4B70-93AC-532BC65AD4A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E07-4B70-93AC-532BC65AD4A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E07-4B70-93AC-532BC65AD4A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E07-4B70-93AC-532BC65AD4A8}"/>
              </c:ext>
            </c:extLst>
          </c:dPt>
          <c:dLbls>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6="http://schemas.microsoft.com/office/drawing/2014/chart" uri="{C3380CC4-5D6E-409C-BE32-E72D297353CC}">
                  <c16:uniqueId val="{0000000D-8E07-4B70-93AC-532BC65AD4A8}"/>
                </c:ext>
              </c:extLst>
            </c:dLbl>
            <c:dLbl>
              <c:idx val="7"/>
              <c:layout>
                <c:manualLayout>
                  <c:x val="-6.1207895888014001E-2"/>
                  <c:y val="-8.1702884565899844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E07-4B70-93AC-532BC65AD4A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dec2013_15nov!$CC$1:$CK$1</c:f>
              <c:strCache>
                <c:ptCount val="9"/>
                <c:pt idx="0">
                  <c:v>NO3</c:v>
                </c:pt>
                <c:pt idx="1">
                  <c:v>NH4</c:v>
                </c:pt>
                <c:pt idx="2">
                  <c:v>SO4</c:v>
                </c:pt>
                <c:pt idx="3">
                  <c:v>OC</c:v>
                </c:pt>
                <c:pt idx="4">
                  <c:v>EC</c:v>
                </c:pt>
                <c:pt idx="5">
                  <c:v>Crustal Material</c:v>
                </c:pt>
                <c:pt idx="6">
                  <c:v>Na</c:v>
                </c:pt>
                <c:pt idx="7">
                  <c:v>Cl </c:v>
                </c:pt>
                <c:pt idx="8">
                  <c:v>Other Mass</c:v>
                </c:pt>
              </c:strCache>
            </c:strRef>
          </c:cat>
          <c:val>
            <c:numRef>
              <c:f>dec2013_15nov!$CC$11:$CK$11</c:f>
              <c:numCache>
                <c:formatCode>0.0</c:formatCode>
                <c:ptCount val="9"/>
                <c:pt idx="0">
                  <c:v>7.8178635239604182</c:v>
                </c:pt>
                <c:pt idx="1">
                  <c:v>2.837414885560833</c:v>
                </c:pt>
                <c:pt idx="2">
                  <c:v>1.7088849345845418</c:v>
                </c:pt>
                <c:pt idx="3">
                  <c:v>5.4809854029327765</c:v>
                </c:pt>
                <c:pt idx="4">
                  <c:v>2.2950324788687078</c:v>
                </c:pt>
                <c:pt idx="5">
                  <c:v>3.5967754870654161</c:v>
                </c:pt>
                <c:pt idx="6">
                  <c:v>0.12131853277477915</c:v>
                </c:pt>
                <c:pt idx="7">
                  <c:v>0.12695255472012085</c:v>
                </c:pt>
                <c:pt idx="8">
                  <c:v>15.65687429021046</c:v>
                </c:pt>
              </c:numCache>
            </c:numRef>
          </c:val>
          <c:extLst>
            <c:ext xmlns:c16="http://schemas.microsoft.com/office/drawing/2014/chart" uri="{C3380CC4-5D6E-409C-BE32-E72D297353CC}">
              <c16:uniqueId val="{00000012-8E07-4B70-93AC-532BC65AD4A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Hawthorne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Modeled</c:v>
          </c:tx>
          <c:spPr>
            <a:ln w="19050" cap="rnd">
              <a:solidFill>
                <a:schemeClr val="tx1"/>
              </a:solidFill>
              <a:prstDash val="dash"/>
              <a:round/>
            </a:ln>
            <a:effectLst/>
          </c:spPr>
          <c:marker>
            <c:symbol val="circle"/>
            <c:size val="5"/>
            <c:spPr>
              <a:solidFill>
                <a:schemeClr val="tx1"/>
              </a:solidFill>
              <a:ln w="9525" cap="rnd">
                <a:solidFill>
                  <a:schemeClr val="tx1"/>
                </a:solidFill>
              </a:ln>
              <a:effectLst/>
            </c:spPr>
          </c:marker>
          <c:cat>
            <c:multiLvlStrRef>
              <c:f>feb2016NH3Inj3!$CJ$37:$CK$52</c:f>
              <c:multiLvlStrCache>
                <c:ptCount val="16"/>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lvl>
                <c:lvl>
                  <c:pt idx="0">
                    <c:v>Feb. 2016</c:v>
                  </c:pt>
                </c:lvl>
              </c:multiLvlStrCache>
            </c:multiLvlStrRef>
          </c:cat>
          <c:val>
            <c:numRef>
              <c:f>feb2016NH3Inj3!$CM$37:$CM$52</c:f>
              <c:numCache>
                <c:formatCode>0.00</c:formatCode>
                <c:ptCount val="16"/>
                <c:pt idx="0">
                  <c:v>11.197892306229997</c:v>
                </c:pt>
                <c:pt idx="1">
                  <c:v>15.191993131882084</c:v>
                </c:pt>
                <c:pt idx="2">
                  <c:v>15.577004542258335</c:v>
                </c:pt>
                <c:pt idx="3">
                  <c:v>12.638841493916251</c:v>
                </c:pt>
                <c:pt idx="4">
                  <c:v>18.644209253454168</c:v>
                </c:pt>
                <c:pt idx="5">
                  <c:v>21.753798464991664</c:v>
                </c:pt>
                <c:pt idx="6">
                  <c:v>27.466163307729172</c:v>
                </c:pt>
                <c:pt idx="7">
                  <c:v>28.250109741787497</c:v>
                </c:pt>
                <c:pt idx="8">
                  <c:v>37.993725478979165</c:v>
                </c:pt>
                <c:pt idx="9">
                  <c:v>62.549736693683336</c:v>
                </c:pt>
                <c:pt idx="10">
                  <c:v>62.559131137858344</c:v>
                </c:pt>
                <c:pt idx="11">
                  <c:v>41.726557372050003</c:v>
                </c:pt>
                <c:pt idx="12">
                  <c:v>28.37490916672083</c:v>
                </c:pt>
                <c:pt idx="13">
                  <c:v>20.805148370271251</c:v>
                </c:pt>
                <c:pt idx="14">
                  <c:v>14.797498835615</c:v>
                </c:pt>
                <c:pt idx="15">
                  <c:v>11.202709450345884</c:v>
                </c:pt>
              </c:numCache>
            </c:numRef>
          </c:val>
          <c:smooth val="1"/>
          <c:extLst>
            <c:ext xmlns:c16="http://schemas.microsoft.com/office/drawing/2014/chart" uri="{C3380CC4-5D6E-409C-BE32-E72D297353CC}">
              <c16:uniqueId val="{00000000-7C7E-4D9A-A481-651064DC7A39}"/>
            </c:ext>
          </c:extLst>
        </c:ser>
        <c:ser>
          <c:idx val="1"/>
          <c:order val="1"/>
          <c:tx>
            <c:v>Measured</c:v>
          </c:tx>
          <c:spPr>
            <a:ln w="19050" cap="rnd">
              <a:solidFill>
                <a:schemeClr val="tx1"/>
              </a:solidFill>
              <a:prstDash val="solid"/>
              <a:round/>
            </a:ln>
            <a:effectLst/>
          </c:spPr>
          <c:marker>
            <c:symbol val="circle"/>
            <c:size val="5"/>
            <c:spPr>
              <a:solidFill>
                <a:schemeClr val="tx1"/>
              </a:solidFill>
              <a:ln w="9525">
                <a:solidFill>
                  <a:schemeClr val="tx1"/>
                </a:solidFill>
                <a:prstDash val="dash"/>
              </a:ln>
              <a:effectLst/>
            </c:spPr>
          </c:marker>
          <c:cat>
            <c:multiLvlStrRef>
              <c:f>feb2016NH3Inj3!$CJ$37:$CK$52</c:f>
              <c:multiLvlStrCache>
                <c:ptCount val="16"/>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lvl>
                <c:lvl>
                  <c:pt idx="0">
                    <c:v>Feb. 2016</c:v>
                  </c:pt>
                </c:lvl>
              </c:multiLvlStrCache>
            </c:multiLvlStrRef>
          </c:cat>
          <c:val>
            <c:numRef>
              <c:f>feb2016NH3Inj3!$CL$37:$CL$52</c:f>
              <c:numCache>
                <c:formatCode>General</c:formatCode>
                <c:ptCount val="16"/>
                <c:pt idx="0">
                  <c:v>3.2</c:v>
                </c:pt>
                <c:pt idx="1">
                  <c:v>5.4</c:v>
                </c:pt>
                <c:pt idx="2">
                  <c:v>9.6</c:v>
                </c:pt>
                <c:pt idx="3">
                  <c:v>14</c:v>
                </c:pt>
                <c:pt idx="4">
                  <c:v>19.2</c:v>
                </c:pt>
                <c:pt idx="5">
                  <c:v>21.3</c:v>
                </c:pt>
                <c:pt idx="6">
                  <c:v>38.6</c:v>
                </c:pt>
                <c:pt idx="7">
                  <c:v>44.5</c:v>
                </c:pt>
                <c:pt idx="8">
                  <c:v>50.1</c:v>
                </c:pt>
                <c:pt idx="9">
                  <c:v>59.2</c:v>
                </c:pt>
                <c:pt idx="10">
                  <c:v>53.5</c:v>
                </c:pt>
                <c:pt idx="11">
                  <c:v>58.9</c:v>
                </c:pt>
                <c:pt idx="12">
                  <c:v>52.4</c:v>
                </c:pt>
                <c:pt idx="13">
                  <c:v>42.1</c:v>
                </c:pt>
                <c:pt idx="14">
                  <c:v>25.6</c:v>
                </c:pt>
                <c:pt idx="15">
                  <c:v>7.5</c:v>
                </c:pt>
              </c:numCache>
            </c:numRef>
          </c:val>
          <c:smooth val="0"/>
          <c:extLst>
            <c:ext xmlns:c16="http://schemas.microsoft.com/office/drawing/2014/chart" uri="{C3380CC4-5D6E-409C-BE32-E72D297353CC}">
              <c16:uniqueId val="{00000001-7C7E-4D9A-A481-651064DC7A39}"/>
            </c:ext>
          </c:extLst>
        </c:ser>
        <c:dLbls>
          <c:showLegendKey val="0"/>
          <c:showVal val="0"/>
          <c:showCatName val="0"/>
          <c:showSerName val="0"/>
          <c:showPercent val="0"/>
          <c:showBubbleSize val="0"/>
        </c:dLbls>
        <c:marker val="1"/>
        <c:smooth val="0"/>
        <c:axId val="23481392"/>
        <c:axId val="23349216"/>
      </c:lineChart>
      <c:catAx>
        <c:axId val="23481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49216"/>
        <c:crosses val="autoZero"/>
        <c:auto val="1"/>
        <c:lblAlgn val="ctr"/>
        <c:lblOffset val="100"/>
        <c:noMultiLvlLbl val="0"/>
      </c:catAx>
      <c:valAx>
        <c:axId val="23349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24-hr PM2.5 concentration (µg/m</a:t>
                </a:r>
                <a:r>
                  <a:rPr lang="en-US" baseline="30000"/>
                  <a:t>3</a:t>
                </a:r>
                <a:r>
                  <a:rPr lang="en-US"/>
                  <a:t>)</a:t>
                </a:r>
              </a:p>
            </c:rich>
          </c:tx>
          <c:layout>
            <c:manualLayout>
              <c:xMode val="edge"/>
              <c:yMode val="edge"/>
              <c:x val="2.6455026455026454E-2"/>
              <c:y val="0.183929352580927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813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Bountiful Viewmont</a:t>
            </a:r>
          </a:p>
          <a:p>
            <a:pPr>
              <a:defRPr sz="1000"/>
            </a:pPr>
            <a:r>
              <a:rPr lang="en-US" sz="1000"/>
              <a:t>February</a:t>
            </a:r>
            <a:r>
              <a:rPr lang="en-US" sz="1000" baseline="0"/>
              <a:t> 12 2016</a:t>
            </a:r>
          </a:p>
          <a:p>
            <a:pPr>
              <a:defRPr sz="1000"/>
            </a:pPr>
            <a:r>
              <a:rPr lang="en-US" sz="1000" baseline="0"/>
              <a:t>PM2.5 Measured = 48.9 µg/m</a:t>
            </a:r>
            <a:r>
              <a:rPr lang="en-US" sz="1000" baseline="30000"/>
              <a:t>3</a:t>
            </a:r>
          </a:p>
        </c:rich>
      </c:tx>
      <c:layout>
        <c:manualLayout>
          <c:xMode val="edge"/>
          <c:yMode val="edge"/>
          <c:x val="0.2272397200349956"/>
          <c:y val="7.6166949719520349E-4"/>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452136191309418"/>
          <c:y val="0.30254940558900723"/>
          <c:w val="0.70503171478565174"/>
          <c:h val="0.6220868071638103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8E-4B40-860F-BDA566B62B8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8E-4B40-860F-BDA566B62B8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8E-4B40-860F-BDA566B62B8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78E-4B40-860F-BDA566B62B8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78E-4B40-860F-BDA566B62B8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78E-4B40-860F-BDA566B62B8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78E-4B40-860F-BDA566B62B8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78E-4B40-860F-BDA566B62B8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78E-4B40-860F-BDA566B62B83}"/>
              </c:ext>
            </c:extLst>
          </c:dPt>
          <c:dLbls>
            <c:dLbl>
              <c:idx val="3"/>
              <c:layout>
                <c:manualLayout>
                  <c:x val="-3.5540609507144941E-3"/>
                  <c:y val="0.1914041994750656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78E-4B40-860F-BDA566B62B83}"/>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6="http://schemas.microsoft.com/office/drawing/2014/chart" uri="{C3380CC4-5D6E-409C-BE32-E72D297353CC}">
                  <c16:uniqueId val="{0000000D-478E-4B40-860F-BDA566B62B8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feb2016NH3Inj3!$BO$1:$BW$1</c:f>
              <c:strCache>
                <c:ptCount val="9"/>
                <c:pt idx="0">
                  <c:v>NO3</c:v>
                </c:pt>
                <c:pt idx="1">
                  <c:v>NH4</c:v>
                </c:pt>
                <c:pt idx="2">
                  <c:v>SO4</c:v>
                </c:pt>
                <c:pt idx="3">
                  <c:v>OC</c:v>
                </c:pt>
                <c:pt idx="4">
                  <c:v>EC</c:v>
                </c:pt>
                <c:pt idx="5">
                  <c:v>Crustal Material</c:v>
                </c:pt>
                <c:pt idx="6">
                  <c:v>Na</c:v>
                </c:pt>
                <c:pt idx="7">
                  <c:v>Cl</c:v>
                </c:pt>
                <c:pt idx="8">
                  <c:v>Other Mass</c:v>
                </c:pt>
              </c:strCache>
            </c:strRef>
          </c:cat>
          <c:val>
            <c:numRef>
              <c:f>feb2016NH3Inj3!$BO$4:$BW$4</c:f>
              <c:numCache>
                <c:formatCode>0.0</c:formatCode>
                <c:ptCount val="9"/>
                <c:pt idx="0">
                  <c:v>26.152370000000001</c:v>
                </c:pt>
                <c:pt idx="1">
                  <c:v>10.04082</c:v>
                </c:pt>
                <c:pt idx="2">
                  <c:v>4.2177300000000004</c:v>
                </c:pt>
                <c:pt idx="3">
                  <c:v>2.1606200000000002</c:v>
                </c:pt>
                <c:pt idx="4">
                  <c:v>0.96943000000000001</c:v>
                </c:pt>
                <c:pt idx="5">
                  <c:v>0.37562579999999995</c:v>
                </c:pt>
                <c:pt idx="6">
                  <c:v>7.9399999999999991E-3</c:v>
                </c:pt>
                <c:pt idx="7">
                  <c:v>0.28964000000000001</c:v>
                </c:pt>
                <c:pt idx="8">
                  <c:v>4.685824199999999</c:v>
                </c:pt>
              </c:numCache>
            </c:numRef>
          </c:val>
          <c:extLst>
            <c:ext xmlns:c16="http://schemas.microsoft.com/office/drawing/2014/chart" uri="{C3380CC4-5D6E-409C-BE32-E72D297353CC}">
              <c16:uniqueId val="{00000012-478E-4B40-860F-BDA566B62B8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Bountiful Viewmont</a:t>
            </a:r>
          </a:p>
          <a:p>
            <a:pPr>
              <a:defRPr sz="1000"/>
            </a:pPr>
            <a:r>
              <a:rPr lang="en-US" sz="1000"/>
              <a:t>February</a:t>
            </a:r>
            <a:r>
              <a:rPr lang="en-US" sz="1000" baseline="0"/>
              <a:t> 12 2016</a:t>
            </a:r>
          </a:p>
          <a:p>
            <a:pPr>
              <a:defRPr sz="1000"/>
            </a:pPr>
            <a:r>
              <a:rPr lang="en-US" sz="1000" baseline="0"/>
              <a:t>PM2.5 Modeled = 45.0 µg/m</a:t>
            </a:r>
            <a:r>
              <a:rPr lang="en-US" sz="1000" baseline="30000"/>
              <a:t>3</a:t>
            </a:r>
          </a:p>
        </c:rich>
      </c:tx>
      <c:layout>
        <c:manualLayout>
          <c:xMode val="edge"/>
          <c:yMode val="edge"/>
          <c:x val="0.19826715208985973"/>
          <c:y val="7.613478462251042E-4"/>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469809217396214"/>
          <c:y val="0.2902945036282229"/>
          <c:w val="0.68228875624417917"/>
          <c:h val="0.6220868071638103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9B-4D31-A54D-3331ACE324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9B-4D31-A54D-3331ACE324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9B-4D31-A54D-3331ACE3249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89B-4D31-A54D-3331ACE3249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89B-4D31-A54D-3331ACE3249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89B-4D31-A54D-3331ACE3249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89B-4D31-A54D-3331ACE3249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89B-4D31-A54D-3331ACE3249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89B-4D31-A54D-3331ACE32498}"/>
              </c:ext>
            </c:extLst>
          </c:dPt>
          <c:dLbls>
            <c:dLbl>
              <c:idx val="5"/>
              <c:layout>
                <c:manualLayout>
                  <c:x val="-6.0174307848615695E-2"/>
                  <c:y val="0.1773882584529875"/>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89B-4D31-A54D-3331ACE32498}"/>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6="http://schemas.microsoft.com/office/drawing/2014/chart" uri="{C3380CC4-5D6E-409C-BE32-E72D297353CC}">
                  <c16:uniqueId val="{0000000D-C89B-4D31-A54D-3331ACE32498}"/>
                </c:ext>
              </c:extLst>
            </c:dLbl>
            <c:dLbl>
              <c:idx val="7"/>
              <c:layout>
                <c:manualLayout>
                  <c:x val="-1.02834927892078E-2"/>
                  <c:y val="-9.947924707940919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89B-4D31-A54D-3331ACE3249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feb2016NH3Inj3!$BO$1:$BW$1</c:f>
              <c:strCache>
                <c:ptCount val="9"/>
                <c:pt idx="0">
                  <c:v>NO3</c:v>
                </c:pt>
                <c:pt idx="1">
                  <c:v>NH4</c:v>
                </c:pt>
                <c:pt idx="2">
                  <c:v>SO4</c:v>
                </c:pt>
                <c:pt idx="3">
                  <c:v>OC</c:v>
                </c:pt>
                <c:pt idx="4">
                  <c:v>EC</c:v>
                </c:pt>
                <c:pt idx="5">
                  <c:v>Crustal Material</c:v>
                </c:pt>
                <c:pt idx="6">
                  <c:v>Na</c:v>
                </c:pt>
                <c:pt idx="7">
                  <c:v>Cl</c:v>
                </c:pt>
                <c:pt idx="8">
                  <c:v>Other Mass</c:v>
                </c:pt>
              </c:strCache>
            </c:strRef>
          </c:cat>
          <c:val>
            <c:numRef>
              <c:f>feb2016NH3Inj3!$BO$5:$BW$5</c:f>
              <c:numCache>
                <c:formatCode>0.0</c:formatCode>
                <c:ptCount val="9"/>
                <c:pt idx="0">
                  <c:v>20.328513026237491</c:v>
                </c:pt>
                <c:pt idx="1">
                  <c:v>7.2402728597320838</c:v>
                </c:pt>
                <c:pt idx="2">
                  <c:v>2.3953779786833338</c:v>
                </c:pt>
                <c:pt idx="3">
                  <c:v>2.0017382875080831</c:v>
                </c:pt>
                <c:pt idx="4">
                  <c:v>4.1217915323669931</c:v>
                </c:pt>
                <c:pt idx="5">
                  <c:v>4.0130009551837498</c:v>
                </c:pt>
                <c:pt idx="6">
                  <c:v>0.14237343675154165</c:v>
                </c:pt>
                <c:pt idx="7">
                  <c:v>1.1601457695167501</c:v>
                </c:pt>
                <c:pt idx="8">
                  <c:v>3.5931045145907969</c:v>
                </c:pt>
              </c:numCache>
            </c:numRef>
          </c:val>
          <c:extLst>
            <c:ext xmlns:c16="http://schemas.microsoft.com/office/drawing/2014/chart" uri="{C3380CC4-5D6E-409C-BE32-E72D297353CC}">
              <c16:uniqueId val="{00000012-C89B-4D31-A54D-3331ACE3249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0.19556</cdr:x>
      <cdr:y>0.1105</cdr:y>
    </cdr:to>
    <cdr:sp macro="" textlink="">
      <cdr:nvSpPr>
        <cdr:cNvPr id="2" name="Text Box 80"/>
        <cdr:cNvSpPr txBox="1"/>
      </cdr:nvSpPr>
      <cdr:spPr>
        <a:xfrm xmlns:a="http://schemas.openxmlformats.org/drawingml/2006/main">
          <a:off x="-914400" y="-914400"/>
          <a:ext cx="554355" cy="343535"/>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gn="ctr">
            <a:lnSpc>
              <a:spcPct val="115000"/>
            </a:lnSpc>
            <a:spcBef>
              <a:spcPts val="0"/>
            </a:spcBef>
            <a:spcAft>
              <a:spcPts val="1000"/>
            </a:spcAft>
          </a:pPr>
          <a:r>
            <a:rPr lang="en-US" sz="1000" b="1">
              <a:effectLst/>
              <a:latin typeface="Times New Roman" panose="02020603050405020304" pitchFamily="18" charset="0"/>
              <a:ea typeface="Calibri" panose="020F0502020204030204" pitchFamily="34" charset="0"/>
              <a:cs typeface="Times New Roman" panose="02020603050405020304" pitchFamily="18" charset="0"/>
            </a:rPr>
            <a:t>a)</a:t>
          </a:r>
          <a:endParaRPr lang="en-US" sz="11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0.01831</cdr:x>
      <cdr:y>0</cdr:y>
    </cdr:from>
    <cdr:to>
      <cdr:x>0.12763</cdr:x>
      <cdr:y>0.0915</cdr:y>
    </cdr:to>
    <cdr:sp macro="" textlink="">
      <cdr:nvSpPr>
        <cdr:cNvPr id="2" name="Text Box 83"/>
        <cdr:cNvSpPr txBox="1"/>
      </cdr:nvSpPr>
      <cdr:spPr>
        <a:xfrm xmlns:a="http://schemas.openxmlformats.org/drawingml/2006/main">
          <a:off x="51904" y="0"/>
          <a:ext cx="309880" cy="28448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15000"/>
            </a:lnSpc>
            <a:spcBef>
              <a:spcPts val="0"/>
            </a:spcBef>
            <a:spcAft>
              <a:spcPts val="1000"/>
            </a:spcAft>
          </a:pPr>
          <a:r>
            <a:rPr lang="en-US" sz="1000" b="1">
              <a:effectLst/>
              <a:latin typeface="Times New Roman" panose="02020603050405020304" pitchFamily="18" charset="0"/>
              <a:ea typeface="Calibri" panose="020F0502020204030204" pitchFamily="34" charset="0"/>
              <a:cs typeface="Times New Roman" panose="02020603050405020304" pitchFamily="18" charset="0"/>
            </a:rPr>
            <a:t>b)</a:t>
          </a:r>
          <a:endParaRPr lang="en-US" sz="11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0.05356</cdr:x>
      <cdr:y>0.01421</cdr:y>
    </cdr:from>
    <cdr:to>
      <cdr:x>0.23597</cdr:x>
      <cdr:y>0.09856</cdr:y>
    </cdr:to>
    <cdr:sp macro="" textlink="">
      <cdr:nvSpPr>
        <cdr:cNvPr id="2" name="Text Box 16"/>
        <cdr:cNvSpPr txBox="1"/>
      </cdr:nvSpPr>
      <cdr:spPr>
        <a:xfrm xmlns:a="http://schemas.openxmlformats.org/drawingml/2006/main">
          <a:off x="146934" y="44174"/>
          <a:ext cx="500380" cy="26225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15000"/>
            </a:lnSpc>
            <a:spcBef>
              <a:spcPts val="0"/>
            </a:spcBef>
            <a:spcAft>
              <a:spcPts val="1000"/>
            </a:spcAft>
          </a:pPr>
          <a:r>
            <a:rPr lang="en-US" sz="1100" b="1">
              <a:effectLst/>
              <a:latin typeface="Times New Roman" panose="02020603050405020304" pitchFamily="18" charset="0"/>
              <a:ea typeface="Calibri" panose="020F0502020204030204" pitchFamily="34" charset="0"/>
              <a:cs typeface="Times New Roman" panose="02020603050405020304" pitchFamily="18" charset="0"/>
            </a:rPr>
            <a:t>b)</a:t>
          </a:r>
        </a:p>
      </cdr:txBody>
    </cdr:sp>
  </cdr:relSizeAnchor>
</c:userShapes>
</file>

<file path=word/drawings/drawing4.xml><?xml version="1.0" encoding="utf-8"?>
<c:userShapes xmlns:c="http://schemas.openxmlformats.org/drawingml/2006/chart">
  <cdr:relSizeAnchor xmlns:cdr="http://schemas.openxmlformats.org/drawingml/2006/chartDrawing">
    <cdr:from>
      <cdr:x>0.02081</cdr:x>
      <cdr:y>0</cdr:y>
    </cdr:from>
    <cdr:to>
      <cdr:x>0.19733</cdr:x>
      <cdr:y>0.08435</cdr:y>
    </cdr:to>
    <cdr:sp macro="" textlink="">
      <cdr:nvSpPr>
        <cdr:cNvPr id="2" name="Text Box 8"/>
        <cdr:cNvSpPr txBox="1"/>
      </cdr:nvSpPr>
      <cdr:spPr>
        <a:xfrm xmlns:a="http://schemas.openxmlformats.org/drawingml/2006/main">
          <a:off x="58985" y="0"/>
          <a:ext cx="500380" cy="26225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15000"/>
            </a:lnSpc>
            <a:spcBef>
              <a:spcPts val="0"/>
            </a:spcBef>
            <a:spcAft>
              <a:spcPts val="1000"/>
            </a:spcAft>
          </a:pPr>
          <a:r>
            <a:rPr lang="en-US" sz="1100" b="1">
              <a:effectLst/>
              <a:latin typeface="Times New Roman" panose="02020603050405020304" pitchFamily="18" charset="0"/>
              <a:ea typeface="Calibri" panose="020F0502020204030204" pitchFamily="34" charset="0"/>
              <a:cs typeface="Times New Roman" panose="02020603050405020304" pitchFamily="18" charset="0"/>
            </a:rPr>
            <a:t>b)</a:t>
          </a:r>
          <a:endParaRPr lang="en-US" sz="11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0.19556</cdr:x>
      <cdr:y>0.1105</cdr:y>
    </cdr:to>
    <cdr:sp macro="" textlink="">
      <cdr:nvSpPr>
        <cdr:cNvPr id="2" name="Text Box 80"/>
        <cdr:cNvSpPr txBox="1"/>
      </cdr:nvSpPr>
      <cdr:spPr>
        <a:xfrm xmlns:a="http://schemas.openxmlformats.org/drawingml/2006/main">
          <a:off x="-914400" y="-914400"/>
          <a:ext cx="554355" cy="343535"/>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gn="ctr">
            <a:lnSpc>
              <a:spcPct val="115000"/>
            </a:lnSpc>
            <a:spcBef>
              <a:spcPts val="0"/>
            </a:spcBef>
            <a:spcAft>
              <a:spcPts val="1000"/>
            </a:spcAft>
          </a:pPr>
          <a:r>
            <a:rPr lang="en-US" sz="1000" b="1">
              <a:effectLst/>
              <a:latin typeface="Times New Roman" panose="02020603050405020304" pitchFamily="18" charset="0"/>
              <a:ea typeface="Calibri" panose="020F0502020204030204" pitchFamily="34" charset="0"/>
              <a:cs typeface="Times New Roman" panose="02020603050405020304" pitchFamily="18" charset="0"/>
            </a:rPr>
            <a:t>a)</a:t>
          </a:r>
          <a:endParaRPr lang="en-US" sz="11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0.01831</cdr:x>
      <cdr:y>0</cdr:y>
    </cdr:from>
    <cdr:to>
      <cdr:x>0.12763</cdr:x>
      <cdr:y>0.0915</cdr:y>
    </cdr:to>
    <cdr:sp macro="" textlink="">
      <cdr:nvSpPr>
        <cdr:cNvPr id="2" name="Text Box 83"/>
        <cdr:cNvSpPr txBox="1"/>
      </cdr:nvSpPr>
      <cdr:spPr>
        <a:xfrm xmlns:a="http://schemas.openxmlformats.org/drawingml/2006/main">
          <a:off x="51904" y="0"/>
          <a:ext cx="309880" cy="28448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15000"/>
            </a:lnSpc>
            <a:spcBef>
              <a:spcPts val="0"/>
            </a:spcBef>
            <a:spcAft>
              <a:spcPts val="1000"/>
            </a:spcAft>
          </a:pPr>
          <a:r>
            <a:rPr lang="en-US" sz="1000" b="1">
              <a:effectLst/>
              <a:latin typeface="Times New Roman" panose="02020603050405020304" pitchFamily="18" charset="0"/>
              <a:ea typeface="Calibri" panose="020F0502020204030204" pitchFamily="34" charset="0"/>
              <a:cs typeface="Times New Roman" panose="02020603050405020304" pitchFamily="18" charset="0"/>
            </a:rPr>
            <a:t>b)</a:t>
          </a:r>
          <a:endParaRPr lang="en-US" sz="11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2019-08-07T00:00:00</PublishDate>
  <Abstract>State of Utah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FB1767-3683-4831-AFD9-EF2356C70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51</Pages>
  <Words>15240</Words>
  <Characters>86868</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PM2.5 Maintenance Provisions for Logan, UT-ID</vt:lpstr>
    </vt:vector>
  </TitlesOfParts>
  <Company>Utah State Implementation Plan</Company>
  <LinksUpToDate>false</LinksUpToDate>
  <CharactersWithSpaces>101905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PM2.5 Maintenance Provisions for Logan, UT-ID</dc:title>
  <dc:subject>Section IX.A.28</dc:subject>
  <dc:creator>Utah Department of Environmental Quality Division of Air Quality</dc:creator>
  <cp:lastModifiedBy>Liam Thrailkill</cp:lastModifiedBy>
  <cp:revision>3</cp:revision>
  <cp:lastPrinted>2020-02-18T23:43:00Z</cp:lastPrinted>
  <dcterms:created xsi:type="dcterms:W3CDTF">2020-02-18T21:32:00Z</dcterms:created>
  <dcterms:modified xsi:type="dcterms:W3CDTF">2020-02-18T23:43:00Z</dcterms:modified>
</cp:coreProperties>
</file>